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R1-220</w:t>
      </w:r>
      <w:r>
        <w:rPr>
          <w:rFonts w:hint="eastAsia" w:ascii="Arial" w:hAnsi="Arial" w:cs="Arial"/>
          <w:b/>
          <w:bCs/>
          <w:sz w:val="28"/>
          <w:lang w:val="en-US" w:eastAsia="zh-CN"/>
        </w:rPr>
        <w:t>7372</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Toulouse, France, August 22</w:t>
      </w:r>
      <w:r>
        <w:rPr>
          <w:rFonts w:ascii="Arial" w:hAnsi="Arial" w:eastAsia="MS Mincho" w:cs="Arial"/>
          <w:b/>
          <w:bCs/>
          <w:sz w:val="28"/>
          <w:vertAlign w:val="superscript"/>
          <w:lang w:eastAsia="ja-JP"/>
        </w:rPr>
        <w:t>nd</w:t>
      </w:r>
      <w:r>
        <w:rPr>
          <w:rFonts w:ascii="Arial" w:hAnsi="Arial" w:eastAsia="MS Mincho" w:cs="Arial"/>
          <w:b/>
          <w:bCs/>
          <w:sz w:val="28"/>
          <w:lang w:eastAsia="ja-JP"/>
        </w:rPr>
        <w:t xml:space="preserve"> – 26</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rPr>
          <w:szCs w:val="20"/>
        </w:rPr>
      </w:pPr>
    </w:p>
    <w:p>
      <w:pPr>
        <w:tabs>
          <w:tab w:val="left" w:pos="1985"/>
          <w:tab w:val="left" w:pos="2835"/>
          <w:tab w:val="right" w:pos="9072"/>
          <w:tab w:val="right" w:pos="10206"/>
        </w:tabs>
        <w:rPr>
          <w:rFonts w:hint="default" w:ascii="Arial" w:hAnsi="Arial" w:eastAsiaTheme="minorEastAsia"/>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9.12.1</w:t>
      </w:r>
    </w:p>
    <w:p>
      <w:pPr>
        <w:tabs>
          <w:tab w:val="left" w:pos="1985"/>
          <w:tab w:val="left" w:pos="2835"/>
          <w:tab w:val="right" w:pos="9072"/>
          <w:tab w:val="right" w:pos="10206"/>
        </w:tabs>
        <w:rPr>
          <w:rFonts w:hint="default" w:ascii="Arial" w:hAnsi="Arial" w:eastAsiaTheme="minorEastAsia"/>
          <w:b/>
          <w:sz w:val="22"/>
          <w:szCs w:val="20"/>
          <w:lang w:val="en-US" w:eastAsia="zh-CN"/>
        </w:rPr>
      </w:pPr>
      <w:r>
        <w:rPr>
          <w:rFonts w:ascii="Arial" w:hAnsi="Arial"/>
          <w:b/>
          <w:sz w:val="22"/>
          <w:szCs w:val="20"/>
        </w:rPr>
        <w:t xml:space="preserve">Source: </w:t>
      </w:r>
      <w:r>
        <w:rPr>
          <w:rFonts w:ascii="Arial" w:hAnsi="Arial"/>
          <w:b/>
          <w:sz w:val="22"/>
          <w:szCs w:val="20"/>
        </w:rPr>
        <w:tab/>
      </w:r>
      <w:r>
        <w:rPr>
          <w:rFonts w:hint="eastAsia" w:ascii="Arial" w:hAnsi="Arial"/>
          <w:b/>
          <w:sz w:val="22"/>
          <w:szCs w:val="20"/>
          <w:lang w:val="en-US" w:eastAsia="zh-CN"/>
        </w:rPr>
        <w:t>Baicells</w:t>
      </w:r>
    </w:p>
    <w:p>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0" w:name="Title"/>
      <w:bookmarkEnd w:id="0"/>
      <w:r>
        <w:rPr>
          <w:rFonts w:ascii="Arial" w:hAnsi="Arial"/>
          <w:b/>
          <w:sz w:val="22"/>
          <w:szCs w:val="20"/>
        </w:rPr>
        <w:tab/>
      </w:r>
      <w:r>
        <w:rPr>
          <w:rFonts w:hint="eastAsia" w:ascii="Arial" w:hAnsi="Arial"/>
          <w:b/>
          <w:sz w:val="22"/>
          <w:szCs w:val="20"/>
        </w:rPr>
        <w:t>Discussion on coverage enhancement for NR NTN</w:t>
      </w:r>
    </w:p>
    <w:p>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hint="eastAsia" w:ascii="Arial" w:hAnsi="Arial"/>
          <w:b/>
          <w:sz w:val="22"/>
          <w:szCs w:val="20"/>
        </w:rPr>
        <w:t>Discussion and Decision</w:t>
      </w:r>
    </w:p>
    <w:p>
      <w:pPr>
        <w:pBdr>
          <w:bottom w:val="single" w:color="auto" w:sz="4" w:space="1"/>
        </w:pBdr>
        <w:spacing w:after="0"/>
        <w:jc w:val="left"/>
        <w:rPr>
          <w:b/>
          <w:bCs/>
          <w:sz w:val="16"/>
          <w:szCs w:val="16"/>
        </w:rPr>
      </w:pPr>
    </w:p>
    <w:p>
      <w:pPr>
        <w:pStyle w:val="2"/>
        <w:numPr>
          <w:numId w:val="0"/>
        </w:numPr>
        <w:ind w:leftChars="0"/>
        <w:outlineLvl w:val="0"/>
        <w:rPr>
          <w:rFonts w:eastAsiaTheme="minorEastAsia"/>
          <w:color w:val="000000" w:themeColor="text1"/>
          <w:lang w:eastAsia="zh-CN"/>
          <w14:textFill>
            <w14:solidFill>
              <w14:schemeClr w14:val="tx1"/>
            </w14:solidFill>
          </w14:textFill>
        </w:rPr>
      </w:pPr>
      <w:bookmarkStart w:id="2" w:name="_Ref124671424"/>
      <w:bookmarkStart w:id="3" w:name="_Ref71620620"/>
      <w:bookmarkStart w:id="4" w:name="_Ref124589665"/>
    </w:p>
    <w:p>
      <w:pPr>
        <w:pStyle w:val="2"/>
        <w:numPr>
          <w:ilvl w:val="0"/>
          <w:numId w:val="2"/>
        </w:numPr>
        <w:outlineLvl w:val="0"/>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t>Introduction</w:t>
      </w:r>
    </w:p>
    <w:p>
      <w:pPr>
        <w:widowControl w:val="0"/>
        <w:overflowPunct w:val="0"/>
        <w:autoSpaceDE w:val="0"/>
        <w:autoSpaceDN w:val="0"/>
        <w:adjustRightInd w:val="0"/>
        <w:spacing w:after="0"/>
        <w:textAlignment w:val="baseline"/>
        <w:rPr>
          <w:rFonts w:hint="eastAsia" w:ascii="Times New Roman" w:hAnsi="Times New Roman" w:cs="Times New Roman" w:eastAsiaTheme="minorEastAsia"/>
          <w:sz w:val="22"/>
          <w:szCs w:val="22"/>
          <w:lang w:val="en-US" w:eastAsia="zh-CN" w:bidi="ar-SA"/>
        </w:rPr>
      </w:pPr>
      <w:bookmarkStart w:id="10" w:name="_GoBack"/>
      <w:bookmarkEnd w:id="10"/>
      <w:bookmarkStart w:id="5" w:name="_Hlk100744619"/>
      <w:r>
        <w:rPr>
          <w:rFonts w:hint="eastAsia" w:ascii="Times New Roman" w:hAnsi="Times New Roman" w:cs="Times New Roman" w:eastAsiaTheme="minorEastAsia"/>
          <w:sz w:val="22"/>
          <w:szCs w:val="22"/>
          <w:lang w:val="en-US" w:eastAsia="zh-CN" w:bidi="ar-SA"/>
        </w:rPr>
        <w:t xml:space="preserve">In </w:t>
      </w:r>
      <w:r>
        <w:rPr>
          <w:rFonts w:ascii="Times New Roman" w:hAnsi="Times New Roman" w:cs="Times New Roman" w:eastAsiaTheme="minorEastAsia"/>
          <w:sz w:val="22"/>
          <w:szCs w:val="22"/>
          <w:lang w:val="en-GB" w:eastAsia="en-US" w:bidi="ar-SA"/>
        </w:rPr>
        <w:t>RAN#94,</w:t>
      </w:r>
      <w:r>
        <w:rPr>
          <w:rFonts w:hint="eastAsia" w:ascii="Times New Roman" w:hAnsi="Times New Roman" w:cs="Times New Roman" w:eastAsiaTheme="minorEastAsia"/>
          <w:sz w:val="22"/>
          <w:szCs w:val="22"/>
          <w:lang w:val="en-US" w:eastAsia="zh-CN" w:bidi="ar-SA"/>
        </w:rPr>
        <w:t xml:space="preserve"> the</w:t>
      </w:r>
      <w:r>
        <w:rPr>
          <w:rFonts w:ascii="Times New Roman" w:hAnsi="Times New Roman" w:cs="Times New Roman" w:eastAsiaTheme="minorEastAsia"/>
          <w:sz w:val="22"/>
          <w:szCs w:val="22"/>
          <w:lang w:val="en-GB" w:eastAsia="en-US" w:bidi="ar-SA"/>
        </w:rPr>
        <w:t xml:space="preserve"> </w:t>
      </w:r>
      <w:r>
        <w:rPr>
          <w:rFonts w:hint="eastAsia" w:ascii="Times New Roman" w:hAnsi="Times New Roman" w:cs="Times New Roman"/>
          <w:sz w:val="22"/>
          <w:szCs w:val="22"/>
          <w:lang w:val="en-US" w:eastAsia="zh-CN" w:bidi="ar-SA"/>
        </w:rPr>
        <w:t>work item</w:t>
      </w:r>
      <w:r>
        <w:rPr>
          <w:rFonts w:ascii="Times New Roman" w:hAnsi="Times New Roman" w:cs="Times New Roman" w:eastAsiaTheme="minorEastAsia"/>
          <w:sz w:val="22"/>
          <w:szCs w:val="22"/>
          <w:lang w:val="en-GB" w:eastAsia="en-US" w:bidi="ar-SA"/>
        </w:rPr>
        <w:t xml:space="preserve"> </w:t>
      </w:r>
      <w:r>
        <w:rPr>
          <w:rFonts w:hint="eastAsia" w:ascii="Times New Roman" w:hAnsi="Times New Roman" w:cs="Times New Roman" w:eastAsiaTheme="minorEastAsia"/>
          <w:sz w:val="22"/>
          <w:szCs w:val="22"/>
          <w:lang w:val="en-US" w:eastAsia="zh-CN" w:bidi="ar-SA"/>
        </w:rPr>
        <w:t>o</w:t>
      </w:r>
      <w:r>
        <w:rPr>
          <w:rFonts w:hint="eastAsia" w:ascii="Times New Roman" w:hAnsi="Times New Roman" w:cs="Times New Roman"/>
          <w:sz w:val="22"/>
          <w:szCs w:val="22"/>
          <w:lang w:val="en-US" w:eastAsia="zh-CN" w:bidi="ar-SA"/>
        </w:rPr>
        <w:t>n</w:t>
      </w:r>
      <w:r>
        <w:rPr>
          <w:rFonts w:ascii="Times New Roman" w:hAnsi="Times New Roman" w:cs="Times New Roman" w:eastAsiaTheme="minorEastAsia"/>
          <w:sz w:val="22"/>
          <w:szCs w:val="22"/>
          <w:lang w:val="en-GB" w:eastAsia="en-US" w:bidi="ar-SA"/>
        </w:rPr>
        <w:t xml:space="preserve"> NR NTN (Non-Terrestrial Networks) enhancements was approved</w:t>
      </w:r>
      <w:r>
        <w:rPr>
          <w:rFonts w:hint="eastAsia" w:ascii="Times New Roman" w:hAnsi="Times New Roman" w:cs="Times New Roman"/>
          <w:sz w:val="22"/>
          <w:szCs w:val="22"/>
          <w:lang w:val="en-US" w:eastAsia="zh-CN" w:bidi="ar-SA"/>
        </w:rPr>
        <w:t xml:space="preserve">. The WI </w:t>
      </w:r>
      <w:r>
        <w:rPr>
          <w:rFonts w:ascii="Times New Roman" w:hAnsi="Times New Roman" w:cs="Times New Roman" w:eastAsiaTheme="minorEastAsia"/>
          <w:sz w:val="22"/>
          <w:szCs w:val="22"/>
          <w:lang w:val="en-US" w:eastAsia="en-GB" w:bidi="ar-SA"/>
        </w:rPr>
        <w:t>aims at specifying enhancements for NG-RAN based NTN (non-terrestrial networks)</w:t>
      </w:r>
      <w:r>
        <w:rPr>
          <w:rFonts w:hint="eastAsia" w:ascii="Times New Roman" w:hAnsi="Times New Roman" w:cs="Times New Roman" w:eastAsiaTheme="minorEastAsia"/>
          <w:sz w:val="22"/>
          <w:szCs w:val="22"/>
          <w:lang w:val="en-US" w:eastAsia="zh-CN" w:bidi="ar-SA"/>
        </w:rPr>
        <w:t xml:space="preserve">, including </w:t>
      </w:r>
      <w:r>
        <w:rPr>
          <w:rFonts w:hint="eastAsia" w:ascii="Times New Roman" w:hAnsi="Times New Roman" w:cs="Times New Roman"/>
          <w:sz w:val="22"/>
          <w:szCs w:val="22"/>
          <w:lang w:val="en-US" w:eastAsia="zh-CN" w:bidi="ar-SA"/>
        </w:rPr>
        <w:t>e</w:t>
      </w:r>
      <w:r>
        <w:rPr>
          <w:rFonts w:ascii="Times New Roman" w:hAnsi="Times New Roman" w:cs="Times New Roman" w:eastAsiaTheme="minorEastAsia"/>
          <w:sz w:val="22"/>
          <w:szCs w:val="22"/>
          <w:lang w:val="en-GB" w:eastAsia="en-US" w:bidi="ar-SA"/>
        </w:rPr>
        <w:t>valuat</w:t>
      </w:r>
      <w:r>
        <w:rPr>
          <w:rFonts w:hint="eastAsia" w:ascii="Times New Roman" w:hAnsi="Times New Roman" w:cs="Times New Roman" w:eastAsiaTheme="minorEastAsia"/>
          <w:sz w:val="22"/>
          <w:szCs w:val="22"/>
          <w:lang w:val="en-US" w:eastAsia="zh-CN" w:bidi="ar-SA"/>
        </w:rPr>
        <w:t>ing</w:t>
      </w:r>
      <w:r>
        <w:rPr>
          <w:rFonts w:ascii="Times New Roman" w:hAnsi="Times New Roman" w:cs="Times New Roman" w:eastAsiaTheme="minorEastAsia"/>
          <w:sz w:val="22"/>
          <w:szCs w:val="22"/>
          <w:lang w:val="en-GB" w:eastAsia="en-US" w:bidi="ar-SA"/>
        </w:rPr>
        <w:t xml:space="preserve"> the coverage performance and identify</w:t>
      </w:r>
      <w:r>
        <w:rPr>
          <w:rFonts w:hint="eastAsia" w:ascii="Times New Roman" w:hAnsi="Times New Roman" w:cs="Times New Roman"/>
          <w:sz w:val="22"/>
          <w:szCs w:val="22"/>
          <w:lang w:val="en-US" w:eastAsia="zh-CN" w:bidi="ar-SA"/>
        </w:rPr>
        <w:t>ing</w:t>
      </w:r>
      <w:r>
        <w:rPr>
          <w:rFonts w:ascii="Times New Roman" w:hAnsi="Times New Roman" w:cs="Times New Roman" w:eastAsiaTheme="minorEastAsia"/>
          <w:sz w:val="22"/>
          <w:szCs w:val="22"/>
          <w:lang w:val="en-GB" w:eastAsia="en-US" w:bidi="ar-SA"/>
        </w:rPr>
        <w:t xml:space="preserve"> the candidate physical radio channels that have coverage issues specific to NTN</w:t>
      </w:r>
      <w:r>
        <w:rPr>
          <w:rFonts w:hint="eastAsia" w:ascii="Times New Roman" w:hAnsi="Times New Roman" w:cs="Times New Roman" w:eastAsiaTheme="minorEastAsia"/>
          <w:sz w:val="22"/>
          <w:szCs w:val="22"/>
          <w:lang w:val="en-US" w:eastAsia="zh-CN" w:bidi="ar-SA"/>
        </w:rPr>
        <w:t xml:space="preserve">. </w:t>
      </w:r>
      <w:r>
        <w:rPr>
          <w:rFonts w:ascii="Times New Roman" w:hAnsi="Times New Roman" w:cs="Times New Roman" w:eastAsiaTheme="minorEastAsia"/>
          <w:sz w:val="22"/>
          <w:szCs w:val="22"/>
          <w:lang w:val="en-GB" w:eastAsia="en-US" w:bidi="ar-SA"/>
        </w:rPr>
        <w:t>The work needs to cover the use case of voice and low-data rate services using commercial smartphones with more realistic assumptions on antenna gains</w:t>
      </w:r>
      <w:r>
        <w:rPr>
          <w:rFonts w:hint="eastAsia" w:ascii="Times New Roman" w:hAnsi="Times New Roman" w:cs="Times New Roman" w:eastAsiaTheme="minorEastAsia"/>
          <w:sz w:val="22"/>
          <w:szCs w:val="22"/>
          <w:lang w:val="en-US" w:eastAsia="zh-CN" w:bidi="ar-SA"/>
        </w:rPr>
        <w:t>.</w:t>
      </w:r>
      <w:r>
        <w:rPr>
          <w:rFonts w:ascii="Times New Roman" w:hAnsi="Times New Roman" w:cs="Times New Roman" w:eastAsiaTheme="minorEastAsia"/>
          <w:sz w:val="22"/>
          <w:szCs w:val="22"/>
          <w:lang w:val="en-GB" w:eastAsia="en-US" w:bidi="ar-SA"/>
        </w:rPr>
        <w:t>[1]</w:t>
      </w:r>
    </w:p>
    <w:p>
      <w:pPr>
        <w:pStyle w:val="13"/>
        <w:ind w:left="110" w:hanging="100" w:hangingChars="50"/>
        <w:rPr>
          <w:bCs/>
        </w:rPr>
      </w:pPr>
    </w:p>
    <w:p>
      <w:pPr>
        <w:pStyle w:val="13"/>
        <w:ind w:left="110" w:hanging="110" w:hangingChars="50"/>
        <w:rPr>
          <w:rFonts w:ascii="Times New Roman" w:hAnsi="Times New Roman" w:cs="Times New Roman" w:eastAsiaTheme="minorEastAsia"/>
          <w:sz w:val="22"/>
          <w:szCs w:val="22"/>
          <w:lang w:val="en-GB" w:eastAsia="en-US" w:bidi="ar-SA"/>
        </w:rPr>
      </w:pPr>
      <w:r>
        <w:rPr>
          <w:sz w:val="22"/>
          <w:szCs w:val="22"/>
        </w:rPr>
        <w:t>In RAN</w:t>
      </w:r>
      <w:r>
        <w:rPr>
          <w:rFonts w:hint="eastAsia"/>
          <w:sz w:val="22"/>
          <w:szCs w:val="22"/>
          <w:lang w:val="en-US" w:eastAsia="zh-CN"/>
        </w:rPr>
        <w:t>1</w:t>
      </w:r>
      <w:r>
        <w:rPr>
          <w:sz w:val="22"/>
          <w:szCs w:val="22"/>
        </w:rPr>
        <w:t>#</w:t>
      </w:r>
      <w:r>
        <w:rPr>
          <w:rFonts w:hint="eastAsia"/>
          <w:sz w:val="22"/>
          <w:szCs w:val="22"/>
          <w:lang w:val="en-US" w:eastAsia="zh-CN"/>
        </w:rPr>
        <w:t>109-e</w:t>
      </w:r>
      <w:r>
        <w:rPr>
          <w:sz w:val="22"/>
          <w:szCs w:val="22"/>
        </w:rPr>
        <w:t xml:space="preserve">, </w:t>
      </w:r>
      <w:r>
        <w:rPr>
          <w:sz w:val="22"/>
          <w:szCs w:val="18"/>
          <w:lang w:val="en-US"/>
        </w:rPr>
        <w:t>FL assumes the following study plan for these purposes.</w:t>
      </w:r>
      <w:r>
        <w:rPr>
          <w:rFonts w:ascii="Times New Roman" w:hAnsi="Times New Roman" w:cs="Times New Roman" w:eastAsiaTheme="minorEastAsia"/>
          <w:sz w:val="22"/>
          <w:szCs w:val="22"/>
          <w:lang w:val="en-GB" w:eastAsia="en-US" w:bidi="ar-SA"/>
        </w:rPr>
        <w:t>[</w:t>
      </w:r>
      <w:r>
        <w:rPr>
          <w:rFonts w:hint="eastAsia" w:ascii="Times New Roman" w:hAnsi="Times New Roman" w:cs="Times New Roman"/>
          <w:sz w:val="22"/>
          <w:szCs w:val="22"/>
          <w:lang w:val="en-US" w:eastAsia="zh-CN" w:bidi="ar-SA"/>
        </w:rPr>
        <w:t>2</w:t>
      </w:r>
      <w:r>
        <w:rPr>
          <w:rFonts w:ascii="Times New Roman" w:hAnsi="Times New Roman" w:cs="Times New Roman" w:eastAsiaTheme="minorEastAsia"/>
          <w:sz w:val="22"/>
          <w:szCs w:val="22"/>
          <w:lang w:val="en-GB" w:eastAsia="en-US" w:bidi="ar-SA"/>
        </w:rPr>
        <w:t>]</w:t>
      </w:r>
    </w:p>
    <w:p>
      <w:pPr>
        <w:numPr>
          <w:ilvl w:val="0"/>
          <w:numId w:val="3"/>
        </w:numPr>
        <w:spacing w:before="120" w:beforeLines="50" w:after="120" w:afterLines="50"/>
        <w:rPr>
          <w:sz w:val="22"/>
          <w:szCs w:val="18"/>
          <w:lang w:val="en-US"/>
        </w:rPr>
      </w:pPr>
      <w:r>
        <w:rPr>
          <w:sz w:val="22"/>
          <w:szCs w:val="18"/>
          <w:lang w:val="en-US"/>
        </w:rPr>
        <w:t>RAN1#109-e: Agreements to have the same assumption for simulation evaluation</w:t>
      </w:r>
    </w:p>
    <w:p>
      <w:pPr>
        <w:numPr>
          <w:ilvl w:val="0"/>
          <w:numId w:val="3"/>
        </w:numPr>
        <w:spacing w:before="120" w:beforeLines="50" w:after="120" w:afterLines="50"/>
        <w:rPr>
          <w:sz w:val="22"/>
          <w:szCs w:val="18"/>
          <w:lang w:val="en-US"/>
        </w:rPr>
      </w:pPr>
      <w:r>
        <w:rPr>
          <w:sz w:val="22"/>
          <w:szCs w:val="18"/>
          <w:lang w:val="en-US"/>
        </w:rPr>
        <w:t>RAN1#110: Agreements to list simulation results and have a conclusion on this study phase</w:t>
      </w:r>
    </w:p>
    <w:p>
      <w:pPr>
        <w:pStyle w:val="13"/>
        <w:ind w:left="110" w:hanging="110" w:hangingChars="50"/>
        <w:rPr>
          <w:rFonts w:ascii="Times New Roman" w:hAnsi="Times New Roman" w:cs="Times New Roman" w:eastAsiaTheme="minorEastAsia"/>
          <w:sz w:val="22"/>
          <w:szCs w:val="22"/>
          <w:lang w:val="en-GB" w:eastAsia="en-US" w:bidi="ar-SA"/>
        </w:rPr>
      </w:pPr>
    </w:p>
    <w:p>
      <w:pPr>
        <w:widowControl w:val="0"/>
        <w:overflowPunct w:val="0"/>
        <w:autoSpaceDE w:val="0"/>
        <w:autoSpaceDN w:val="0"/>
        <w:adjustRightInd w:val="0"/>
        <w:spacing w:after="0"/>
        <w:textAlignment w:val="baseline"/>
        <w:rPr>
          <w:rFonts w:hint="default" w:ascii="Times New Roman" w:hAnsi="Times New Roman" w:cs="Times New Roman" w:eastAsiaTheme="minorEastAsia"/>
          <w:sz w:val="22"/>
          <w:szCs w:val="22"/>
          <w:lang w:val="en-US" w:eastAsia="zh-CN" w:bidi="ar-SA"/>
        </w:rPr>
      </w:pPr>
      <w:r>
        <w:rPr>
          <w:rFonts w:hint="eastAsia" w:cs="Times New Roman"/>
          <w:sz w:val="22"/>
          <w:szCs w:val="22"/>
          <w:lang w:val="en-US" w:eastAsia="zh-CN" w:bidi="ar-SA"/>
        </w:rPr>
        <w:t>A</w:t>
      </w:r>
      <w:r>
        <w:rPr>
          <w:rFonts w:hint="eastAsia" w:ascii="Times New Roman" w:hAnsi="Times New Roman" w:cs="Times New Roman" w:eastAsiaTheme="minorEastAsia"/>
          <w:sz w:val="22"/>
          <w:szCs w:val="22"/>
          <w:lang w:val="en-US" w:eastAsia="zh-CN" w:bidi="ar-SA"/>
        </w:rPr>
        <w:t xml:space="preserve">greements </w:t>
      </w:r>
      <w:r>
        <w:rPr>
          <w:rFonts w:hint="eastAsia" w:cs="Times New Roman"/>
          <w:sz w:val="22"/>
          <w:szCs w:val="22"/>
          <w:lang w:val="en-US" w:eastAsia="zh-CN" w:bidi="ar-SA"/>
        </w:rPr>
        <w:t xml:space="preserve">of </w:t>
      </w:r>
      <w:r>
        <w:rPr>
          <w:rFonts w:ascii="Times New Roman" w:hAnsi="Times New Roman" w:cs="Times New Roman" w:eastAsiaTheme="minorEastAsia"/>
          <w:sz w:val="22"/>
          <w:szCs w:val="22"/>
          <w:lang w:val="en-GB" w:eastAsia="en-US" w:bidi="ar-SA"/>
        </w:rPr>
        <w:t>RAN</w:t>
      </w:r>
      <w:r>
        <w:rPr>
          <w:rFonts w:hint="eastAsia" w:ascii="Times New Roman" w:hAnsi="Times New Roman" w:cs="Times New Roman" w:eastAsiaTheme="minorEastAsia"/>
          <w:sz w:val="22"/>
          <w:szCs w:val="22"/>
          <w:lang w:val="en-US" w:eastAsia="zh-CN" w:bidi="ar-SA"/>
        </w:rPr>
        <w:t>1</w:t>
      </w:r>
      <w:r>
        <w:rPr>
          <w:rFonts w:ascii="Times New Roman" w:hAnsi="Times New Roman" w:cs="Times New Roman" w:eastAsiaTheme="minorEastAsia"/>
          <w:sz w:val="22"/>
          <w:szCs w:val="22"/>
          <w:lang w:val="en-GB" w:eastAsia="en-US" w:bidi="ar-SA"/>
        </w:rPr>
        <w:t>#</w:t>
      </w:r>
      <w:r>
        <w:rPr>
          <w:rFonts w:hint="eastAsia" w:ascii="Times New Roman" w:hAnsi="Times New Roman" w:cs="Times New Roman" w:eastAsiaTheme="minorEastAsia"/>
          <w:sz w:val="22"/>
          <w:szCs w:val="22"/>
          <w:lang w:val="en-US" w:eastAsia="zh-CN" w:bidi="ar-SA"/>
        </w:rPr>
        <w:t>109-e</w:t>
      </w:r>
      <w:r>
        <w:rPr>
          <w:rFonts w:hint="eastAsia" w:cs="Times New Roman"/>
          <w:sz w:val="22"/>
          <w:szCs w:val="22"/>
          <w:lang w:val="en-US" w:eastAsia="zh-CN" w:bidi="ar-SA"/>
        </w:rPr>
        <w:t xml:space="preserve"> are </w:t>
      </w:r>
      <w:r>
        <w:rPr>
          <w:rFonts w:hint="eastAsia" w:ascii="Times New Roman" w:hAnsi="Times New Roman" w:cs="Times New Roman" w:eastAsiaTheme="minorEastAsia"/>
          <w:sz w:val="22"/>
          <w:szCs w:val="22"/>
          <w:lang w:val="en-US" w:eastAsia="zh-CN" w:bidi="ar-SA"/>
        </w:rPr>
        <w:t>summari</w:t>
      </w:r>
      <w:r>
        <w:rPr>
          <w:rFonts w:hint="eastAsia" w:cs="Times New Roman"/>
          <w:sz w:val="22"/>
          <w:szCs w:val="22"/>
          <w:lang w:val="en-US" w:eastAsia="zh-CN" w:bidi="ar-SA"/>
        </w:rPr>
        <w:t xml:space="preserve">zed in </w:t>
      </w:r>
      <w:r>
        <w:rPr>
          <w:rFonts w:hint="eastAsia" w:ascii="Times New Roman" w:hAnsi="Times New Roman" w:cs="Times New Roman" w:eastAsiaTheme="minorEastAsia"/>
          <w:sz w:val="22"/>
          <w:szCs w:val="22"/>
          <w:lang w:val="en-US" w:eastAsia="zh-CN" w:bidi="ar-SA"/>
        </w:rPr>
        <w:t>Chair</w:t>
      </w:r>
      <w:r>
        <w:rPr>
          <w:rFonts w:hint="default" w:ascii="Times New Roman" w:hAnsi="Times New Roman" w:cs="Times New Roman" w:eastAsiaTheme="minorEastAsia"/>
          <w:sz w:val="22"/>
          <w:szCs w:val="22"/>
          <w:lang w:val="en-US" w:eastAsia="zh-CN" w:bidi="ar-SA"/>
        </w:rPr>
        <w:t>’</w:t>
      </w:r>
      <w:r>
        <w:rPr>
          <w:rFonts w:hint="eastAsia" w:ascii="Times New Roman" w:hAnsi="Times New Roman" w:cs="Times New Roman" w:eastAsiaTheme="minorEastAsia"/>
          <w:sz w:val="22"/>
          <w:szCs w:val="22"/>
          <w:lang w:val="en-US" w:eastAsia="zh-CN" w:bidi="ar-SA"/>
        </w:rPr>
        <w:t xml:space="preserve">s Notes </w:t>
      </w:r>
      <w:r>
        <w:rPr>
          <w:rFonts w:ascii="Times New Roman" w:hAnsi="Times New Roman" w:cs="Times New Roman" w:eastAsiaTheme="minorEastAsia"/>
          <w:sz w:val="22"/>
          <w:szCs w:val="22"/>
          <w:lang w:val="en-GB" w:eastAsia="en-US" w:bidi="ar-SA"/>
        </w:rPr>
        <w:t>[</w:t>
      </w:r>
      <w:r>
        <w:rPr>
          <w:rFonts w:hint="eastAsia" w:ascii="Times New Roman" w:hAnsi="Times New Roman" w:cs="Times New Roman" w:eastAsiaTheme="minorEastAsia"/>
          <w:sz w:val="22"/>
          <w:szCs w:val="22"/>
          <w:lang w:val="en-US" w:eastAsia="zh-CN" w:bidi="ar-SA"/>
        </w:rPr>
        <w:t>3</w:t>
      </w:r>
      <w:r>
        <w:rPr>
          <w:rFonts w:ascii="Times New Roman" w:hAnsi="Times New Roman" w:cs="Times New Roman" w:eastAsiaTheme="minorEastAsia"/>
          <w:sz w:val="22"/>
          <w:szCs w:val="22"/>
          <w:lang w:val="en-GB" w:eastAsia="en-US" w:bidi="ar-SA"/>
        </w:rPr>
        <w:t>]</w:t>
      </w:r>
      <w:r>
        <w:rPr>
          <w:rFonts w:hint="eastAsia" w:ascii="Times New Roman" w:hAnsi="Times New Roman" w:cs="Times New Roman" w:eastAsiaTheme="minorEastAsia"/>
          <w:sz w:val="22"/>
          <w:szCs w:val="22"/>
          <w:lang w:val="en-US" w:eastAsia="zh-CN" w:bidi="ar-SA"/>
        </w:rPr>
        <w:t>. Some of the key agre</w:t>
      </w:r>
      <w:r>
        <w:rPr>
          <w:rFonts w:hint="eastAsia" w:cs="Times New Roman"/>
          <w:sz w:val="22"/>
          <w:szCs w:val="22"/>
          <w:lang w:val="en-US" w:eastAsia="zh-CN" w:bidi="ar-SA"/>
        </w:rPr>
        <w:t>em</w:t>
      </w:r>
      <w:r>
        <w:rPr>
          <w:rFonts w:hint="eastAsia" w:ascii="Times New Roman" w:hAnsi="Times New Roman" w:cs="Times New Roman" w:eastAsiaTheme="minorEastAsia"/>
          <w:sz w:val="22"/>
          <w:szCs w:val="22"/>
          <w:lang w:val="en-US" w:eastAsia="zh-CN" w:bidi="ar-SA"/>
        </w:rPr>
        <w:t xml:space="preserve">ents are </w:t>
      </w:r>
      <w:r>
        <w:rPr>
          <w:rFonts w:hint="eastAsia" w:cs="Times New Roman"/>
          <w:sz w:val="22"/>
          <w:szCs w:val="22"/>
          <w:lang w:val="en-US" w:eastAsia="zh-CN" w:bidi="ar-SA"/>
        </w:rPr>
        <w:t>as following.</w:t>
      </w:r>
    </w:p>
    <w:p>
      <w:pPr>
        <w:pStyle w:val="13"/>
        <w:ind w:left="110" w:hanging="110" w:hangingChars="50"/>
        <w:rPr>
          <w:rFonts w:ascii="Times New Roman" w:hAnsi="Times New Roman" w:cs="Times New Roman" w:eastAsiaTheme="minorEastAsia"/>
          <w:sz w:val="22"/>
          <w:szCs w:val="22"/>
          <w:lang w:val="en-GB" w:eastAsia="en-US" w:bidi="ar-SA"/>
        </w:rPr>
      </w:pPr>
    </w:p>
    <w:p>
      <w:pPr>
        <w:pStyle w:val="13"/>
        <w:ind w:left="110" w:hanging="110" w:hangingChars="50"/>
        <w:rPr>
          <w:rFonts w:ascii="Times New Roman" w:hAnsi="Times New Roman" w:cs="Times New Roman" w:eastAsiaTheme="minorEastAsia"/>
          <w:sz w:val="22"/>
          <w:szCs w:val="22"/>
          <w:lang w:val="en-GB" w:eastAsia="en-US" w:bidi="ar-SA"/>
        </w:rPr>
      </w:pPr>
    </w:p>
    <w:p>
      <w:pPr>
        <w:pStyle w:val="13"/>
        <w:ind w:left="110" w:hanging="110" w:hangingChars="50"/>
        <w:rPr>
          <w:rFonts w:hint="default" w:ascii="Times New Roman" w:hAnsi="Times New Roman" w:cs="Times New Roman" w:eastAsiaTheme="minorEastAsia"/>
          <w:sz w:val="22"/>
          <w:szCs w:val="22"/>
          <w:lang w:val="en-US" w:eastAsia="zh-CN" w:bidi="ar-SA"/>
        </w:rPr>
      </w:pPr>
      <w:r>
        <w:rPr>
          <w:sz w:val="22"/>
        </w:rPr>
        <mc:AlternateContent>
          <mc:Choice Requires="wps">
            <w:drawing>
              <wp:anchor distT="0" distB="0" distL="114300" distR="114300" simplePos="0" relativeHeight="251660288" behindDoc="0" locked="0" layoutInCell="1" allowOverlap="1">
                <wp:simplePos x="0" y="0"/>
                <wp:positionH relativeFrom="column">
                  <wp:posOffset>-118110</wp:posOffset>
                </wp:positionH>
                <wp:positionV relativeFrom="paragraph">
                  <wp:posOffset>31115</wp:posOffset>
                </wp:positionV>
                <wp:extent cx="6290310" cy="5829300"/>
                <wp:effectExtent l="4445" t="4445" r="14605" b="18415"/>
                <wp:wrapTopAndBottom/>
                <wp:docPr id="1" name="文本框 1"/>
                <wp:cNvGraphicFramePr/>
                <a:graphic xmlns:a="http://schemas.openxmlformats.org/drawingml/2006/main">
                  <a:graphicData uri="http://schemas.microsoft.com/office/word/2010/wordprocessingShape">
                    <wps:wsp>
                      <wps:cNvSpPr txBox="1"/>
                      <wps:spPr>
                        <a:xfrm>
                          <a:off x="889000" y="5123815"/>
                          <a:ext cx="6290310" cy="58293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ascii="Times New Roman" w:hAnsi="Times New Roman" w:eastAsia="MS PGothic"/>
                                <w:b/>
                                <w:bCs/>
                                <w:szCs w:val="20"/>
                                <w:highlight w:val="green"/>
                                <w:lang w:eastAsia="zh-CN"/>
                              </w:rPr>
                            </w:pPr>
                            <w:r>
                              <w:rPr>
                                <w:rFonts w:ascii="Times New Roman" w:hAnsi="Times New Roman" w:eastAsia="MS PGothic"/>
                                <w:b/>
                                <w:bCs/>
                                <w:szCs w:val="20"/>
                                <w:highlight w:val="green"/>
                                <w:lang w:eastAsia="zh-CN"/>
                              </w:rPr>
                              <w:t>Agreement</w:t>
                            </w:r>
                          </w:p>
                          <w:p>
                            <w:pPr>
                              <w:rPr>
                                <w:rFonts w:eastAsia="Yu Gothic"/>
                                <w:szCs w:val="22"/>
                                <w:lang w:eastAsia="zh-CN"/>
                              </w:rPr>
                            </w:pPr>
                            <w:r>
                              <w:rPr>
                                <w:rFonts w:eastAsia="Yu Gothic"/>
                                <w:szCs w:val="22"/>
                                <w:lang w:eastAsia="zh-CN"/>
                              </w:rPr>
                              <w:t>For NR NTN coverage enhancement, evaluate the following cases.</w:t>
                            </w:r>
                          </w:p>
                          <w:p>
                            <w:pPr>
                              <w:pStyle w:val="11"/>
                              <w:rPr>
                                <w:rFonts w:hint="eastAsia" w:eastAsia="Yu Gothic"/>
                                <w:szCs w:val="22"/>
                                <w:lang w:val="en-US" w:eastAsia="ko-KR"/>
                              </w:rPr>
                            </w:pPr>
                            <w:r>
                              <w:t>Table 1</w:t>
                            </w:r>
                            <w:r>
                              <w:rPr>
                                <w:rFonts w:hint="eastAsia"/>
                                <w:lang w:val="en-US" w:eastAsia="zh-CN"/>
                              </w:rPr>
                              <w:t>.</w:t>
                            </w:r>
                            <w:r>
                              <w:t xml:space="preserve"> Cases for Coverage Enhancement Evaluation</w:t>
                            </w:r>
                          </w:p>
                          <w:tbl>
                            <w:tblPr>
                              <w:tblStyle w:val="21"/>
                              <w:tblW w:w="0" w:type="auto"/>
                              <w:tblInd w:w="0" w:type="dxa"/>
                              <w:tblLayout w:type="autofit"/>
                              <w:tblCellMar>
                                <w:top w:w="0" w:type="dxa"/>
                                <w:left w:w="0" w:type="dxa"/>
                                <w:bottom w:w="0" w:type="dxa"/>
                                <w:right w:w="0" w:type="dxa"/>
                              </w:tblCellMar>
                            </w:tblPr>
                            <w:tblGrid>
                              <w:gridCol w:w="1405"/>
                              <w:gridCol w:w="1397"/>
                              <w:gridCol w:w="1410"/>
                              <w:gridCol w:w="1405"/>
                              <w:gridCol w:w="1403"/>
                              <w:gridCol w:w="1411"/>
                              <w:gridCol w:w="1393"/>
                            </w:tblGrid>
                            <w:tr>
                              <w:tblPrEx>
                                <w:tblCellMar>
                                  <w:top w:w="0" w:type="dxa"/>
                                  <w:left w:w="0" w:type="dxa"/>
                                  <w:bottom w:w="0" w:type="dxa"/>
                                  <w:right w:w="0" w:type="dxa"/>
                                </w:tblCellMar>
                              </w:tblPrEx>
                              <w:tc>
                                <w:tcPr>
                                  <w:tcW w:w="141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Case</w:t>
                                  </w:r>
                                </w:p>
                              </w:tc>
                              <w:tc>
                                <w:tcPr>
                                  <w:tcW w:w="140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Satellite orbit</w:t>
                                  </w:r>
                                </w:p>
                              </w:tc>
                              <w:tc>
                                <w:tcPr>
                                  <w:tcW w:w="14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Satellite parameter set</w:t>
                                  </w:r>
                                </w:p>
                              </w:tc>
                              <w:tc>
                                <w:tcPr>
                                  <w:tcW w:w="1409"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Elevation angle (deg)</w:t>
                                  </w:r>
                                </w:p>
                              </w:tc>
                              <w:tc>
                                <w:tcPr>
                                  <w:tcW w:w="140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Terminal</w:t>
                                  </w:r>
                                </w:p>
                              </w:tc>
                              <w:tc>
                                <w:tcPr>
                                  <w:tcW w:w="141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Frequency band</w:t>
                                  </w:r>
                                </w:p>
                              </w:tc>
                              <w:tc>
                                <w:tcPr>
                                  <w:tcW w:w="140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Service type</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1</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GEO</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1</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12.5</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Low-data rate service</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GEO</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Low-data rate service</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 (Optional)</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LEO-1200</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1</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VoIP</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4</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LEO-1200</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VoIP</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 xml:space="preserve">5 </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LEO-1200</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Low-data rate service</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6 (Optional)</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LEO-600</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1</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VoIP</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 xml:space="preserve">7 </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LEO-600</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VoIP</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8 (Optional)</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LEO-600</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Low-data rate service</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rPr>
                                    <w:t>9 (Optional, with higher priority than case 10)</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rPr>
                                    <w:t>MEO</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1</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Low-data rate service</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Cs w:val="20"/>
                                      <w:lang w:val="en-US" w:eastAsia="ko-KR"/>
                                    </w:rPr>
                                  </w:pPr>
                                  <w:r>
                                    <w:rPr>
                                      <w:rFonts w:ascii="Times New Roman" w:hAnsi="Times New Roman" w:eastAsia="Yu Gothic"/>
                                      <w:szCs w:val="20"/>
                                      <w:lang w:val="en-US"/>
                                    </w:rPr>
                                    <w:t>10 (Optional)</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Cs w:val="20"/>
                                      <w:lang w:val="en-US" w:eastAsia="ko-KR"/>
                                    </w:rPr>
                                  </w:pPr>
                                  <w:r>
                                    <w:rPr>
                                      <w:rFonts w:ascii="Times New Roman" w:hAnsi="Times New Roman" w:eastAsia="Yu Gothic"/>
                                      <w:szCs w:val="20"/>
                                      <w:lang w:val="en-US"/>
                                    </w:rPr>
                                    <w:t>MEO</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Low-data rate service</w:t>
                                  </w:r>
                                </w:p>
                              </w:tc>
                            </w:tr>
                          </w:tbl>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3pt;margin-top:2.45pt;height:459pt;width:495.3pt;mso-wrap-distance-bottom:0pt;mso-wrap-distance-top:0pt;z-index:251660288;mso-width-relative:page;mso-height-relative:page;" fillcolor="#FFFFFF [3201]" filled="t" stroked="t" coordsize="21600,21600" o:gfxdata="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Nggfw/WAAAACQEAAA8AAAAAAAAAAQAgAAAAIgAAAGRycy9kb3ducmV2LnhtbFBLAQIUABQAAAAI&#10;AIdO4kAM6LpYYQIAAMMEAAAOAAAAAAAAAAEAIAAAACUBAABkcnMvZTJvRG9jLnhtbFBLBQYAAAAA&#10;BgAGAFkBAAD4BQAAAAA=&#10;">
                <v:fill on="t" focussize="0,0"/>
                <v:stroke weight="0.5pt" color="#000000 [3204]" joinstyle="round"/>
                <v:imagedata o:title=""/>
                <o:lock v:ext="edit" aspectratio="f"/>
                <v:textbox>
                  <w:txbxContent>
                    <w:p>
                      <w:pPr>
                        <w:rPr>
                          <w:rFonts w:ascii="Times New Roman" w:hAnsi="Times New Roman" w:eastAsia="MS PGothic"/>
                          <w:b/>
                          <w:bCs/>
                          <w:szCs w:val="20"/>
                          <w:highlight w:val="green"/>
                          <w:lang w:eastAsia="zh-CN"/>
                        </w:rPr>
                      </w:pPr>
                      <w:r>
                        <w:rPr>
                          <w:rFonts w:ascii="Times New Roman" w:hAnsi="Times New Roman" w:eastAsia="MS PGothic"/>
                          <w:b/>
                          <w:bCs/>
                          <w:szCs w:val="20"/>
                          <w:highlight w:val="green"/>
                          <w:lang w:eastAsia="zh-CN"/>
                        </w:rPr>
                        <w:t>Agreement</w:t>
                      </w:r>
                    </w:p>
                    <w:p>
                      <w:pPr>
                        <w:rPr>
                          <w:rFonts w:eastAsia="Yu Gothic"/>
                          <w:szCs w:val="22"/>
                          <w:lang w:eastAsia="zh-CN"/>
                        </w:rPr>
                      </w:pPr>
                      <w:r>
                        <w:rPr>
                          <w:rFonts w:eastAsia="Yu Gothic"/>
                          <w:szCs w:val="22"/>
                          <w:lang w:eastAsia="zh-CN"/>
                        </w:rPr>
                        <w:t>For NR NTN coverage enhancement, evaluate the following cases.</w:t>
                      </w:r>
                    </w:p>
                    <w:p>
                      <w:pPr>
                        <w:pStyle w:val="11"/>
                        <w:rPr>
                          <w:rFonts w:hint="eastAsia" w:eastAsia="Yu Gothic"/>
                          <w:szCs w:val="22"/>
                          <w:lang w:val="en-US" w:eastAsia="ko-KR"/>
                        </w:rPr>
                      </w:pPr>
                      <w:r>
                        <w:t>Table 1</w:t>
                      </w:r>
                      <w:r>
                        <w:rPr>
                          <w:rFonts w:hint="eastAsia"/>
                          <w:lang w:val="en-US" w:eastAsia="zh-CN"/>
                        </w:rPr>
                        <w:t>.</w:t>
                      </w:r>
                      <w:r>
                        <w:t xml:space="preserve"> Cases for Coverage Enhancement Evaluation</w:t>
                      </w:r>
                    </w:p>
                    <w:tbl>
                      <w:tblPr>
                        <w:tblStyle w:val="21"/>
                        <w:tblW w:w="0" w:type="auto"/>
                        <w:tblInd w:w="0" w:type="dxa"/>
                        <w:tblLayout w:type="autofit"/>
                        <w:tblCellMar>
                          <w:top w:w="0" w:type="dxa"/>
                          <w:left w:w="0" w:type="dxa"/>
                          <w:bottom w:w="0" w:type="dxa"/>
                          <w:right w:w="0" w:type="dxa"/>
                        </w:tblCellMar>
                      </w:tblPr>
                      <w:tblGrid>
                        <w:gridCol w:w="1405"/>
                        <w:gridCol w:w="1397"/>
                        <w:gridCol w:w="1410"/>
                        <w:gridCol w:w="1405"/>
                        <w:gridCol w:w="1403"/>
                        <w:gridCol w:w="1411"/>
                        <w:gridCol w:w="1393"/>
                      </w:tblGrid>
                      <w:tr>
                        <w:tblPrEx>
                          <w:tblCellMar>
                            <w:top w:w="0" w:type="dxa"/>
                            <w:left w:w="0" w:type="dxa"/>
                            <w:bottom w:w="0" w:type="dxa"/>
                            <w:right w:w="0" w:type="dxa"/>
                          </w:tblCellMar>
                        </w:tblPrEx>
                        <w:tc>
                          <w:tcPr>
                            <w:tcW w:w="141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Case</w:t>
                            </w:r>
                          </w:p>
                        </w:tc>
                        <w:tc>
                          <w:tcPr>
                            <w:tcW w:w="140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Satellite orbit</w:t>
                            </w:r>
                          </w:p>
                        </w:tc>
                        <w:tc>
                          <w:tcPr>
                            <w:tcW w:w="14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Satellite parameter set</w:t>
                            </w:r>
                          </w:p>
                        </w:tc>
                        <w:tc>
                          <w:tcPr>
                            <w:tcW w:w="1409"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Elevation angle (deg)</w:t>
                            </w:r>
                          </w:p>
                        </w:tc>
                        <w:tc>
                          <w:tcPr>
                            <w:tcW w:w="140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Terminal</w:t>
                            </w:r>
                          </w:p>
                        </w:tc>
                        <w:tc>
                          <w:tcPr>
                            <w:tcW w:w="141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Frequency band</w:t>
                            </w:r>
                          </w:p>
                        </w:tc>
                        <w:tc>
                          <w:tcPr>
                            <w:tcW w:w="140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Service type</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1</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GEO</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1</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12.5</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Low-data rate service</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GEO</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Low-data rate service</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 (Optional)</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LEO-1200</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1</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VoIP</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4</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LEO-1200</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VoIP</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 xml:space="preserve">5 </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LEO-1200</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Low-data rate service</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6 (Optional)</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LEO-600</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1</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VoIP</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 xml:space="preserve">7 </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LEO-600</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VoIP</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8 (Optional)</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LEO-600</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Low-data rate service</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rPr>
                              <w:t>9 (Optional, with higher priority than case 10)</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rPr>
                              <w:t>MEO</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1</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Low-data rate service</w:t>
                            </w:r>
                          </w:p>
                        </w:tc>
                      </w:tr>
                      <w:tr>
                        <w:tblPrEx>
                          <w:tblCellMar>
                            <w:top w:w="0" w:type="dxa"/>
                            <w:left w:w="0" w:type="dxa"/>
                            <w:bottom w:w="0" w:type="dxa"/>
                            <w:right w:w="0" w:type="dxa"/>
                          </w:tblCellMar>
                        </w:tblPrEx>
                        <w:tc>
                          <w:tcPr>
                            <w:tcW w:w="141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Cs w:val="20"/>
                                <w:lang w:val="en-US" w:eastAsia="ko-KR"/>
                              </w:rPr>
                            </w:pPr>
                            <w:r>
                              <w:rPr>
                                <w:rFonts w:ascii="Times New Roman" w:hAnsi="Times New Roman" w:eastAsia="Yu Gothic"/>
                                <w:szCs w:val="20"/>
                                <w:lang w:val="en-US"/>
                              </w:rPr>
                              <w:t>10 (Optional)</w:t>
                            </w:r>
                          </w:p>
                        </w:tc>
                        <w:tc>
                          <w:tcPr>
                            <w:tcW w:w="140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Cs w:val="20"/>
                                <w:lang w:val="en-US" w:eastAsia="ko-KR"/>
                              </w:rPr>
                            </w:pPr>
                            <w:r>
                              <w:rPr>
                                <w:rFonts w:ascii="Times New Roman" w:hAnsi="Times New Roman" w:eastAsia="Yu Gothic"/>
                                <w:szCs w:val="20"/>
                                <w:lang w:val="en-US"/>
                              </w:rPr>
                              <w:t>MEO</w:t>
                            </w:r>
                          </w:p>
                        </w:tc>
                        <w:tc>
                          <w:tcPr>
                            <w:tcW w:w="1413"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2</w:t>
                            </w:r>
                          </w:p>
                        </w:tc>
                        <w:tc>
                          <w:tcPr>
                            <w:tcW w:w="140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30</w:t>
                            </w:r>
                          </w:p>
                        </w:tc>
                        <w:tc>
                          <w:tcPr>
                            <w:tcW w:w="140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Handset</w:t>
                            </w:r>
                          </w:p>
                        </w:tc>
                        <w:tc>
                          <w:tcPr>
                            <w:tcW w:w="141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S-band</w:t>
                            </w:r>
                          </w:p>
                        </w:tc>
                        <w:tc>
                          <w:tcPr>
                            <w:tcW w:w="140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Cs w:val="20"/>
                                <w:lang w:val="en-US" w:eastAsia="ko-KR"/>
                              </w:rPr>
                            </w:pPr>
                            <w:r>
                              <w:rPr>
                                <w:rFonts w:ascii="Times New Roman" w:hAnsi="Times New Roman" w:eastAsia="Yu Gothic"/>
                                <w:szCs w:val="20"/>
                                <w:lang w:val="en-US" w:eastAsia="zh-CN"/>
                              </w:rPr>
                              <w:t>Low-data rate service</w:t>
                            </w:r>
                          </w:p>
                        </w:tc>
                      </w:tr>
                    </w:tbl>
                    <w:p/>
                    <w:p/>
                  </w:txbxContent>
                </v:textbox>
                <w10:wrap type="topAndBottom"/>
              </v:shape>
            </w:pict>
          </mc:Fallback>
        </mc:AlternateContent>
      </w:r>
    </w:p>
    <w:p>
      <w:r>
        <w:br w:type="page"/>
      </w:r>
    </w:p>
    <w:p/>
    <w:p>
      <w:pPr>
        <w:pStyle w:val="13"/>
        <w:ind w:left="110" w:hanging="110" w:hangingChars="50"/>
        <w:rPr>
          <w:rFonts w:ascii="Times New Roman" w:hAnsi="Times New Roman" w:cs="Times New Roman" w:eastAsiaTheme="minorEastAsia"/>
          <w:sz w:val="22"/>
          <w:szCs w:val="22"/>
          <w:lang w:val="en-GB" w:eastAsia="en-US" w:bidi="ar-SA"/>
        </w:rPr>
      </w:pPr>
      <w:r>
        <w:rPr>
          <w:sz w:val="22"/>
        </w:rPr>
        <mc:AlternateContent>
          <mc:Choice Requires="wps">
            <w:drawing>
              <wp:anchor distT="0" distB="0" distL="114300" distR="114300" simplePos="0" relativeHeight="251659264" behindDoc="0" locked="0" layoutInCell="1" allowOverlap="1">
                <wp:simplePos x="0" y="0"/>
                <wp:positionH relativeFrom="column">
                  <wp:posOffset>-54610</wp:posOffset>
                </wp:positionH>
                <wp:positionV relativeFrom="paragraph">
                  <wp:posOffset>43815</wp:posOffset>
                </wp:positionV>
                <wp:extent cx="6163310" cy="1981835"/>
                <wp:effectExtent l="4445" t="4445" r="19685" b="10160"/>
                <wp:wrapTopAndBottom/>
                <wp:docPr id="4" name="文本框 4"/>
                <wp:cNvGraphicFramePr/>
                <a:graphic xmlns:a="http://schemas.openxmlformats.org/drawingml/2006/main">
                  <a:graphicData uri="http://schemas.microsoft.com/office/word/2010/wordprocessingShape">
                    <wps:wsp>
                      <wps:cNvSpPr txBox="1"/>
                      <wps:spPr>
                        <a:xfrm>
                          <a:off x="0" y="0"/>
                          <a:ext cx="6163310" cy="19818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ascii="Times New Roman" w:hAnsi="Times New Roman" w:eastAsia="MS PGothic"/>
                                <w:szCs w:val="20"/>
                                <w:lang w:val="en-US" w:eastAsia="ja-JP"/>
                              </w:rPr>
                            </w:pPr>
                            <w:r>
                              <w:rPr>
                                <w:rFonts w:ascii="Times New Roman" w:hAnsi="Times New Roman" w:eastAsia="MS PGothic"/>
                                <w:b/>
                                <w:bCs/>
                                <w:szCs w:val="20"/>
                                <w:highlight w:val="green"/>
                                <w:lang w:eastAsia="zh-CN"/>
                              </w:rPr>
                              <w:t>Agreement</w:t>
                            </w:r>
                          </w:p>
                          <w:p>
                            <w:pPr>
                              <w:rPr>
                                <w:szCs w:val="18"/>
                                <w:lang w:eastAsia="zh-CN"/>
                              </w:rPr>
                            </w:pPr>
                            <w:r>
                              <w:rPr>
                                <w:szCs w:val="18"/>
                                <w:lang w:eastAsia="zh-CN"/>
                              </w:rPr>
                              <w:t>For coverage performance evaluation, the following elevation angle is assumed.</w:t>
                            </w:r>
                          </w:p>
                          <w:p>
                            <w:pPr>
                              <w:pStyle w:val="37"/>
                              <w:numPr>
                                <w:ilvl w:val="0"/>
                                <w:numId w:val="4"/>
                              </w:numPr>
                              <w:ind w:left="720" w:leftChars="0" w:hanging="360"/>
                              <w:rPr>
                                <w:rFonts w:ascii="Times New Roman" w:hAnsi="Times New Roman"/>
                                <w:szCs w:val="20"/>
                              </w:rPr>
                            </w:pPr>
                            <w:r>
                              <w:rPr>
                                <w:rFonts w:ascii="Times New Roman" w:hAnsi="Times New Roman"/>
                                <w:szCs w:val="20"/>
                              </w:rPr>
                              <w:t>30 deg for LEO, 12.5 deg for GEO-Set 1, 20 deg for GEO-Set 2, as in in Table 6.1.3.2-1 of TR38.821</w:t>
                            </w:r>
                          </w:p>
                          <w:p>
                            <w:pPr>
                              <w:pStyle w:val="37"/>
                              <w:numPr>
                                <w:ilvl w:val="1"/>
                                <w:numId w:val="4"/>
                              </w:numPr>
                              <w:ind w:left="1276" w:leftChars="0" w:hanging="283"/>
                              <w:rPr>
                                <w:rFonts w:ascii="Times New Roman" w:hAnsi="Times New Roman"/>
                                <w:szCs w:val="20"/>
                              </w:rPr>
                            </w:pPr>
                            <w:r>
                              <w:rPr>
                                <w:rFonts w:ascii="Times New Roman" w:hAnsi="Times New Roman"/>
                                <w:szCs w:val="20"/>
                              </w:rPr>
                              <w:t>Note: For GEO-Set 1, channel parameters for 10 deg is used in LLS.</w:t>
                            </w:r>
                          </w:p>
                          <w:p>
                            <w:pPr>
                              <w:pStyle w:val="37"/>
                              <w:numPr>
                                <w:ilvl w:val="0"/>
                                <w:numId w:val="4"/>
                              </w:numPr>
                              <w:ind w:left="720" w:leftChars="0" w:hanging="360"/>
                              <w:rPr>
                                <w:rFonts w:ascii="Times New Roman" w:hAnsi="Times New Roman"/>
                                <w:szCs w:val="20"/>
                              </w:rPr>
                            </w:pPr>
                            <w:r>
                              <w:rPr>
                                <w:rFonts w:ascii="Times New Roman" w:hAnsi="Times New Roman"/>
                                <w:szCs w:val="20"/>
                              </w:rPr>
                              <w:t>30 deg for MEO</w:t>
                            </w:r>
                          </w:p>
                          <w:p>
                            <w:pPr>
                              <w:pStyle w:val="37"/>
                              <w:numPr>
                                <w:ilvl w:val="0"/>
                                <w:numId w:val="4"/>
                              </w:numPr>
                              <w:ind w:left="720" w:leftChars="0" w:hanging="360"/>
                              <w:rPr>
                                <w:rFonts w:ascii="Times New Roman" w:hAnsi="Times New Roman"/>
                                <w:szCs w:val="20"/>
                              </w:rPr>
                            </w:pPr>
                            <w:r>
                              <w:rPr>
                                <w:rFonts w:ascii="Times New Roman" w:hAnsi="Times New Roman"/>
                                <w:szCs w:val="20"/>
                              </w:rPr>
                              <w:t>Other elevation angles can be evaluated as optional</w:t>
                            </w:r>
                          </w:p>
                          <w:p>
                            <w:pPr>
                              <w:pStyle w:val="37"/>
                              <w:numPr>
                                <w:ilvl w:val="0"/>
                                <w:numId w:val="4"/>
                              </w:numPr>
                              <w:ind w:left="720" w:leftChars="0" w:hanging="360"/>
                              <w:rPr>
                                <w:color w:val="auto"/>
                                <w:u w:val="none"/>
                              </w:rPr>
                            </w:pPr>
                            <w:r>
                              <w:rPr>
                                <w:rFonts w:ascii="Times New Roman" w:hAnsi="Times New Roman"/>
                                <w:color w:val="auto"/>
                                <w:szCs w:val="20"/>
                                <w:u w:val="none"/>
                              </w:rPr>
                              <w:t>Note: these values are elevation angles at the edge of the edge beam.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pt;margin-top:3.45pt;height:156.05pt;width:485.3pt;mso-wrap-distance-bottom:0pt;mso-wrap-distance-top:0pt;z-index:251659264;mso-width-relative:page;mso-height-relative:page;" fillcolor="#FFFFFF [3201]" filled="t" stroked="t" coordsize="21600,21600" o:gfxdata="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g0mOd9UAAAAI&#10;AQAADwAAAAAAAAABACAAAAAiAAAAZHJzL2Rvd25yZXYueG1sUEsBAhQAFAAAAAgAh07iQIKgF6xY&#10;AgAAuAQAAA4AAAAAAAAAAQAgAAAAJAEAAGRycy9lMm9Eb2MueG1sUEsFBgAAAAAGAAYAWQEAAO4F&#10;AAAAAA==&#10;">
                <v:fill on="t" focussize="0,0"/>
                <v:stroke weight="0.5pt" color="#000000 [3204]" joinstyle="round"/>
                <v:imagedata o:title=""/>
                <o:lock v:ext="edit" aspectratio="f"/>
                <v:textbox>
                  <w:txbxContent>
                    <w:p>
                      <w:pPr>
                        <w:rPr>
                          <w:rFonts w:ascii="Times New Roman" w:hAnsi="Times New Roman" w:eastAsia="MS PGothic"/>
                          <w:szCs w:val="20"/>
                          <w:lang w:val="en-US" w:eastAsia="ja-JP"/>
                        </w:rPr>
                      </w:pPr>
                      <w:r>
                        <w:rPr>
                          <w:rFonts w:ascii="Times New Roman" w:hAnsi="Times New Roman" w:eastAsia="MS PGothic"/>
                          <w:b/>
                          <w:bCs/>
                          <w:szCs w:val="20"/>
                          <w:highlight w:val="green"/>
                          <w:lang w:eastAsia="zh-CN"/>
                        </w:rPr>
                        <w:t>Agreement</w:t>
                      </w:r>
                    </w:p>
                    <w:p>
                      <w:pPr>
                        <w:rPr>
                          <w:szCs w:val="18"/>
                          <w:lang w:eastAsia="zh-CN"/>
                        </w:rPr>
                      </w:pPr>
                      <w:r>
                        <w:rPr>
                          <w:szCs w:val="18"/>
                          <w:lang w:eastAsia="zh-CN"/>
                        </w:rPr>
                        <w:t>For coverage performance evaluation, the following elevation angle is assumed.</w:t>
                      </w:r>
                    </w:p>
                    <w:p>
                      <w:pPr>
                        <w:pStyle w:val="37"/>
                        <w:numPr>
                          <w:ilvl w:val="0"/>
                          <w:numId w:val="4"/>
                        </w:numPr>
                        <w:ind w:left="720" w:leftChars="0" w:hanging="360"/>
                        <w:rPr>
                          <w:rFonts w:ascii="Times New Roman" w:hAnsi="Times New Roman"/>
                          <w:szCs w:val="20"/>
                        </w:rPr>
                      </w:pPr>
                      <w:r>
                        <w:rPr>
                          <w:rFonts w:ascii="Times New Roman" w:hAnsi="Times New Roman"/>
                          <w:szCs w:val="20"/>
                        </w:rPr>
                        <w:t>30 deg for LEO, 12.5 deg for GEO-Set 1, 20 deg for GEO-Set 2, as in in Table 6.1.3.2-1 of TR38.821</w:t>
                      </w:r>
                    </w:p>
                    <w:p>
                      <w:pPr>
                        <w:pStyle w:val="37"/>
                        <w:numPr>
                          <w:ilvl w:val="1"/>
                          <w:numId w:val="4"/>
                        </w:numPr>
                        <w:ind w:left="1276" w:leftChars="0" w:hanging="283"/>
                        <w:rPr>
                          <w:rFonts w:ascii="Times New Roman" w:hAnsi="Times New Roman"/>
                          <w:szCs w:val="20"/>
                        </w:rPr>
                      </w:pPr>
                      <w:r>
                        <w:rPr>
                          <w:rFonts w:ascii="Times New Roman" w:hAnsi="Times New Roman"/>
                          <w:szCs w:val="20"/>
                        </w:rPr>
                        <w:t>Note: For GEO-Set 1, channel parameters for 10 deg is used in LLS.</w:t>
                      </w:r>
                    </w:p>
                    <w:p>
                      <w:pPr>
                        <w:pStyle w:val="37"/>
                        <w:numPr>
                          <w:ilvl w:val="0"/>
                          <w:numId w:val="4"/>
                        </w:numPr>
                        <w:ind w:left="720" w:leftChars="0" w:hanging="360"/>
                        <w:rPr>
                          <w:rFonts w:ascii="Times New Roman" w:hAnsi="Times New Roman"/>
                          <w:szCs w:val="20"/>
                        </w:rPr>
                      </w:pPr>
                      <w:r>
                        <w:rPr>
                          <w:rFonts w:ascii="Times New Roman" w:hAnsi="Times New Roman"/>
                          <w:szCs w:val="20"/>
                        </w:rPr>
                        <w:t>30 deg for MEO</w:t>
                      </w:r>
                    </w:p>
                    <w:p>
                      <w:pPr>
                        <w:pStyle w:val="37"/>
                        <w:numPr>
                          <w:ilvl w:val="0"/>
                          <w:numId w:val="4"/>
                        </w:numPr>
                        <w:ind w:left="720" w:leftChars="0" w:hanging="360"/>
                        <w:rPr>
                          <w:rFonts w:ascii="Times New Roman" w:hAnsi="Times New Roman"/>
                          <w:szCs w:val="20"/>
                        </w:rPr>
                      </w:pPr>
                      <w:r>
                        <w:rPr>
                          <w:rFonts w:ascii="Times New Roman" w:hAnsi="Times New Roman"/>
                          <w:szCs w:val="20"/>
                        </w:rPr>
                        <w:t>Other elevation angles can be evaluated as optional</w:t>
                      </w:r>
                    </w:p>
                    <w:p>
                      <w:pPr>
                        <w:pStyle w:val="37"/>
                        <w:numPr>
                          <w:ilvl w:val="0"/>
                          <w:numId w:val="4"/>
                        </w:numPr>
                        <w:ind w:left="720" w:leftChars="0" w:hanging="360"/>
                        <w:rPr>
                          <w:color w:val="auto"/>
                          <w:u w:val="none"/>
                        </w:rPr>
                      </w:pPr>
                      <w:r>
                        <w:rPr>
                          <w:rFonts w:ascii="Times New Roman" w:hAnsi="Times New Roman"/>
                          <w:color w:val="auto"/>
                          <w:szCs w:val="20"/>
                          <w:u w:val="none"/>
                        </w:rPr>
                        <w:t>Note: these values are elevation angles at the edge of the edge beam.</w:t>
                      </w:r>
                    </w:p>
                  </w:txbxContent>
                </v:textbox>
                <w10:wrap type="topAndBottom"/>
              </v:shape>
            </w:pict>
          </mc:Fallback>
        </mc:AlternateContent>
      </w:r>
    </w:p>
    <w:bookmarkEnd w:id="5"/>
    <w:p>
      <w:pPr>
        <w:pStyle w:val="13"/>
        <w:spacing w:before="120"/>
        <w:rPr>
          <w:rFonts w:hint="default" w:cs="Arial"/>
          <w:sz w:val="22"/>
          <w:szCs w:val="22"/>
          <w:lang w:val="en-US"/>
        </w:rPr>
      </w:pPr>
      <w:r>
        <w:rPr>
          <w:rFonts w:cs="Arial"/>
          <w:sz w:val="22"/>
          <w:szCs w:val="22"/>
        </w:rPr>
        <w:t>In this contribution,</w:t>
      </w:r>
      <w:r>
        <w:rPr>
          <w:rFonts w:hint="eastAsia" w:cs="Arial"/>
          <w:sz w:val="22"/>
          <w:szCs w:val="22"/>
          <w:lang w:val="en-US" w:eastAsia="zh-CN"/>
        </w:rPr>
        <w:t xml:space="preserve"> we present the link budget calculation and link level simulation results based on the</w:t>
      </w:r>
      <w:r>
        <w:rPr>
          <w:rFonts w:cs="Arial"/>
          <w:sz w:val="22"/>
          <w:szCs w:val="22"/>
        </w:rPr>
        <w:t xml:space="preserve"> assumptions</w:t>
      </w:r>
      <w:r>
        <w:rPr>
          <w:sz w:val="22"/>
          <w:szCs w:val="22"/>
        </w:rPr>
        <w:t xml:space="preserve"> </w:t>
      </w:r>
      <w:r>
        <w:rPr>
          <w:rFonts w:hint="eastAsia"/>
          <w:sz w:val="22"/>
          <w:szCs w:val="22"/>
          <w:lang w:val="en-US" w:eastAsia="zh-CN"/>
        </w:rPr>
        <w:t xml:space="preserve">agreed in </w:t>
      </w:r>
      <w:r>
        <w:rPr>
          <w:sz w:val="22"/>
          <w:szCs w:val="22"/>
        </w:rPr>
        <w:t>RAN</w:t>
      </w:r>
      <w:r>
        <w:rPr>
          <w:rFonts w:hint="eastAsia"/>
          <w:sz w:val="22"/>
          <w:szCs w:val="22"/>
          <w:lang w:val="en-US" w:eastAsia="zh-CN"/>
        </w:rPr>
        <w:t>1</w:t>
      </w:r>
      <w:r>
        <w:rPr>
          <w:sz w:val="22"/>
          <w:szCs w:val="22"/>
        </w:rPr>
        <w:t>#</w:t>
      </w:r>
      <w:r>
        <w:rPr>
          <w:rFonts w:hint="eastAsia"/>
          <w:sz w:val="22"/>
          <w:szCs w:val="22"/>
          <w:lang w:val="en-US" w:eastAsia="zh-CN"/>
        </w:rPr>
        <w:t>109-e.</w:t>
      </w:r>
    </w:p>
    <w:p>
      <w:pPr>
        <w:rPr>
          <w:rFonts w:cs="Arial"/>
        </w:rPr>
      </w:pPr>
    </w:p>
    <w:p>
      <w:pPr>
        <w:pStyle w:val="2"/>
        <w:numPr>
          <w:ilvl w:val="0"/>
          <w:numId w:val="0"/>
        </w:numPr>
        <w:tabs>
          <w:tab w:val="left" w:pos="432"/>
        </w:tabs>
        <w:ind w:leftChars="0"/>
        <w:outlineLvl w:val="0"/>
        <w:rPr>
          <w:rFonts w:eastAsiaTheme="minorEastAsia"/>
          <w:sz w:val="28"/>
          <w:lang w:eastAsia="zh-CN"/>
        </w:rPr>
      </w:pPr>
      <w:r>
        <w:rPr>
          <w:rFonts w:hint="eastAsia" w:eastAsiaTheme="minorEastAsia"/>
          <w:sz w:val="32"/>
          <w:lang w:val="en-US" w:eastAsia="zh-CN"/>
        </w:rPr>
        <w:t xml:space="preserve">2. </w:t>
      </w:r>
      <w:r>
        <w:rPr>
          <w:rFonts w:eastAsiaTheme="minorEastAsia"/>
          <w:sz w:val="32"/>
          <w:lang w:eastAsia="zh-CN"/>
        </w:rPr>
        <w:t xml:space="preserve">Link </w:t>
      </w:r>
      <w:r>
        <w:rPr>
          <w:rFonts w:hint="eastAsia" w:eastAsiaTheme="minorEastAsia"/>
          <w:sz w:val="32"/>
          <w:lang w:val="en-US" w:eastAsia="zh-CN"/>
        </w:rPr>
        <w:t>B</w:t>
      </w:r>
      <w:r>
        <w:rPr>
          <w:rFonts w:eastAsiaTheme="minorEastAsia"/>
          <w:sz w:val="32"/>
          <w:lang w:eastAsia="zh-CN"/>
        </w:rPr>
        <w:t xml:space="preserve">udget </w:t>
      </w:r>
      <w:r>
        <w:rPr>
          <w:rFonts w:hint="eastAsia" w:eastAsiaTheme="minorEastAsia"/>
          <w:sz w:val="32"/>
          <w:lang w:val="en-US" w:eastAsia="zh-CN"/>
        </w:rPr>
        <w:t>Calculation</w:t>
      </w:r>
    </w:p>
    <w:p>
      <w:pPr>
        <w:rPr>
          <w:rFonts w:hint="eastAsia"/>
          <w:sz w:val="22"/>
          <w:szCs w:val="22"/>
          <w:lang w:val="en-US" w:eastAsia="zh-CN"/>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2.1 Assumptions for link budget calculation</w:t>
      </w:r>
    </w:p>
    <w:p>
      <w:pPr>
        <w:rPr>
          <w:rFonts w:hint="eastAsia" w:eastAsiaTheme="minorEastAsia"/>
          <w:sz w:val="22"/>
          <w:szCs w:val="22"/>
          <w:lang w:val="en-US" w:eastAsia="zh-CN"/>
        </w:rPr>
      </w:pPr>
      <w:r>
        <w:rPr>
          <w:rFonts w:hint="eastAsia"/>
          <w:sz w:val="22"/>
          <w:szCs w:val="22"/>
          <w:lang w:val="en-US" w:eastAsia="zh-CN"/>
        </w:rPr>
        <w:t xml:space="preserve">For link budget calculation, parameters in </w:t>
      </w:r>
      <w:r>
        <w:rPr>
          <w:rFonts w:hint="eastAsia"/>
          <w:b/>
          <w:bCs/>
          <w:sz w:val="22"/>
          <w:szCs w:val="22"/>
          <w:lang w:val="en-US" w:eastAsia="zh-CN"/>
        </w:rPr>
        <w:t>table 2</w:t>
      </w:r>
      <w:r>
        <w:rPr>
          <w:rFonts w:hint="eastAsia"/>
          <w:b w:val="0"/>
          <w:bCs w:val="0"/>
          <w:sz w:val="22"/>
          <w:szCs w:val="22"/>
          <w:lang w:val="en-US" w:eastAsia="zh-CN"/>
        </w:rPr>
        <w:t xml:space="preserve"> </w:t>
      </w:r>
      <w:r>
        <w:rPr>
          <w:rFonts w:hint="eastAsia"/>
          <w:sz w:val="22"/>
          <w:szCs w:val="22"/>
          <w:lang w:val="en-US" w:eastAsia="zh-CN"/>
        </w:rPr>
        <w:t xml:space="preserve">is assumed based on the RAN1#109-e agreements </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3</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 xml:space="preserve"> and related documents </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4</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5</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w:t>
      </w:r>
    </w:p>
    <w:p>
      <w:pPr>
        <w:pStyle w:val="11"/>
        <w:rPr>
          <w:rFonts w:hint="default" w:eastAsia="宋体"/>
          <w:szCs w:val="20"/>
          <w:lang w:val="en-US" w:eastAsia="zh-CN"/>
        </w:rPr>
      </w:pPr>
      <w:r>
        <w:rPr>
          <w:rFonts w:hint="eastAsia" w:eastAsia="Yu Gothic"/>
          <w:szCs w:val="20"/>
          <w:lang w:val="en-US" w:eastAsia="zh-CN"/>
        </w:rPr>
        <w:t xml:space="preserve"> </w:t>
      </w:r>
      <w:r>
        <w:t xml:space="preserve">Table </w:t>
      </w:r>
      <w:r>
        <w:rPr>
          <w:rFonts w:hint="eastAsia"/>
          <w:lang w:val="en-US" w:eastAsia="zh-CN"/>
        </w:rPr>
        <w:t>2</w:t>
      </w:r>
      <w:r>
        <w:t xml:space="preserve"> </w:t>
      </w:r>
      <w:r>
        <w:rPr>
          <w:rFonts w:hint="eastAsia"/>
          <w:lang w:val="en-US" w:eastAsia="zh-CN"/>
        </w:rPr>
        <w:t>Assumptions for link budget calculation</w:t>
      </w:r>
    </w:p>
    <w:tbl>
      <w:tblPr>
        <w:tblStyle w:val="21"/>
        <w:tblW w:w="93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600"/>
        <w:gridCol w:w="57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Parameters</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Notes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Carrier frequency</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 GHz for DL and UL (S-band)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Channel bandwidth</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NRB*SCS*12MHz, SCS=15kHz,NRB&gt;=1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Satellite altitude</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LEO600 km, LEO1200 km, MEO10000 km, GEO35786 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Target elevation angle</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 (LEO), 30° (MEO), 12.5°/20° (GEO</w:t>
            </w:r>
            <w:r>
              <w:rPr>
                <w:rFonts w:hint="eastAsia" w:ascii="Times New Roman" w:hAnsi="Times New Roman" w:eastAsia="宋体" w:cs="Times New Roman"/>
                <w:i w:val="0"/>
                <w:iCs w:val="0"/>
                <w:color w:val="000000"/>
                <w:kern w:val="0"/>
                <w:sz w:val="22"/>
                <w:szCs w:val="22"/>
                <w:u w:val="none"/>
                <w:lang w:val="en-US" w:eastAsia="zh-CN" w:bidi="ar"/>
              </w:rPr>
              <w:t xml:space="preserve">, </w:t>
            </w:r>
            <w:r>
              <w:rPr>
                <w:rFonts w:hint="default" w:ascii="Times New Roman" w:hAnsi="Times New Roman" w:eastAsia="宋体" w:cs="Times New Roman"/>
                <w:i w:val="0"/>
                <w:iCs w:val="0"/>
                <w:color w:val="000000"/>
                <w:kern w:val="0"/>
                <w:sz w:val="22"/>
                <w:szCs w:val="22"/>
                <w:u w:val="none"/>
                <w:lang w:val="en-US" w:eastAsia="zh-CN" w:bidi="ar"/>
              </w:rPr>
              <w:t>Set 1/</w:t>
            </w:r>
            <w:r>
              <w:rPr>
                <w:rFonts w:hint="eastAsia" w:ascii="Times New Roman" w:hAnsi="Times New Roman" w:eastAsia="宋体" w:cs="Times New Roman"/>
                <w:i w:val="0"/>
                <w:iCs w:val="0"/>
                <w:color w:val="000000"/>
                <w:kern w:val="0"/>
                <w:sz w:val="22"/>
                <w:szCs w:val="22"/>
                <w:u w:val="none"/>
                <w:lang w:val="en-US" w:eastAsia="zh-CN" w:bidi="ar"/>
              </w:rPr>
              <w:t>Set</w:t>
            </w: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Atmospheric loss</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0.2dB(GEO), 0.16dB(MEO), 0.1dB(LEO)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Scintillation loss</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Shadowing margin</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Clear sky conditions</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Yes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Polarization loss</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eastAsia" w:eastAsia="宋体" w:cs="Times New Roman"/>
                <w:i w:val="0"/>
                <w:iCs w:val="0"/>
                <w:color w:val="000000"/>
                <w:kern w:val="0"/>
                <w:sz w:val="22"/>
                <w:szCs w:val="22"/>
                <w:u w:val="none"/>
                <w:lang w:val="en-US" w:eastAsia="zh-CN" w:bidi="ar"/>
              </w:rPr>
              <w:t xml:space="preserve">Beam edge </w:t>
            </w:r>
            <w:r>
              <w:rPr>
                <w:rFonts w:hint="default" w:ascii="Times New Roman" w:hAnsi="Times New Roman" w:eastAsia="宋体" w:cs="Times New Roman"/>
                <w:i w:val="0"/>
                <w:iCs w:val="0"/>
                <w:color w:val="000000"/>
                <w:kern w:val="0"/>
                <w:sz w:val="22"/>
                <w:szCs w:val="22"/>
                <w:u w:val="none"/>
                <w:lang w:val="en-US" w:eastAsia="zh-CN" w:bidi="ar"/>
              </w:rPr>
              <w:t>loss</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lang w:val="en-US"/>
              </w:rPr>
            </w:pPr>
            <w:r>
              <w:rPr>
                <w:rFonts w:hint="eastAsia" w:eastAsia="宋体" w:cs="Times New Roman"/>
                <w:i w:val="0"/>
                <w:iCs w:val="0"/>
                <w:color w:val="000000"/>
                <w:kern w:val="0"/>
                <w:sz w:val="22"/>
                <w:szCs w:val="22"/>
                <w:u w:val="none"/>
                <w:lang w:val="en-US" w:eastAsia="zh-CN" w:bidi="ar"/>
              </w:rPr>
              <w:t>3</w:t>
            </w:r>
            <w:r>
              <w:rPr>
                <w:rFonts w:hint="default" w:ascii="Times New Roman" w:hAnsi="Times New Roman" w:eastAsia="宋体" w:cs="Times New Roman"/>
                <w:i w:val="0"/>
                <w:iCs w:val="0"/>
                <w:color w:val="000000"/>
                <w:kern w:val="0"/>
                <w:sz w:val="22"/>
                <w:szCs w:val="22"/>
                <w:u w:val="none"/>
                <w:lang w:val="en-US" w:eastAsia="zh-CN" w:bidi="ar"/>
              </w:rPr>
              <w:t xml:space="preserve"> dB</w:t>
            </w:r>
            <w:r>
              <w:rPr>
                <w:rFonts w:hint="eastAsia" w:eastAsia="宋体" w:cs="Times New Roman"/>
                <w:i w:val="0"/>
                <w:iCs w:val="0"/>
                <w:color w:val="000000"/>
                <w:kern w:val="0"/>
                <w:sz w:val="22"/>
                <w:szCs w:val="22"/>
                <w:u w:val="none"/>
                <w:lang w:val="en-US" w:eastAsia="zh-CN" w:bidi="ar"/>
              </w:rPr>
              <w:t xml:space="preserve"> (*Note1)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Satellite EIRP density (dBW/MHz)</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59/53.5(GEO Set1/Set2),  40/34(LEO1200 Set1/Set2), 34/28(LEO600 Set1/Set2),  51/45.4(MEO Set1/Set2)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Satellite G/T (dB/K)</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19/14(GEO Set1/Set2),  1.1/-4.9(LEO1200 Set1/Set2),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1.1/-4.9(LEO600 Set1/Set2),   13/3.8(MEO Set1/Set2)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Satellite beam edge loss</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 or 3dB (Note 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eastAsia" w:ascii="Times New Roman" w:hAnsi="Times New Roman" w:eastAsia="宋体" w:cs="Times New Roman"/>
                <w:i w:val="0"/>
                <w:iCs w:val="0"/>
                <w:color w:val="000000"/>
                <w:kern w:val="0"/>
                <w:sz w:val="22"/>
                <w:szCs w:val="22"/>
                <w:u w:val="none"/>
                <w:lang w:val="en-US" w:eastAsia="zh-CN" w:bidi="ar"/>
              </w:rPr>
              <w:t xml:space="preserve">UE </w:t>
            </w:r>
            <w:r>
              <w:rPr>
                <w:rFonts w:hint="default" w:ascii="Times New Roman" w:hAnsi="Times New Roman" w:eastAsia="宋体" w:cs="Times New Roman"/>
                <w:i w:val="0"/>
                <w:iCs w:val="0"/>
                <w:color w:val="000000"/>
                <w:kern w:val="0"/>
                <w:sz w:val="22"/>
                <w:szCs w:val="22"/>
                <w:u w:val="none"/>
                <w:lang w:val="en-US" w:eastAsia="zh-CN" w:bidi="ar"/>
              </w:rPr>
              <w:t>Tx power</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 mW (23 dBm)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UE Tx/Rx antenna gain</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UE Noise Figure</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360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UE Antenna temperature</w:t>
            </w:r>
          </w:p>
        </w:tc>
        <w:tc>
          <w:tcPr>
            <w:tcW w:w="573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290K</w:t>
            </w:r>
          </w:p>
        </w:tc>
      </w:tr>
    </w:tbl>
    <w:p>
      <w:pPr>
        <w:rPr>
          <w:rFonts w:hint="default" w:ascii="Times New Roman" w:hAnsi="Times New Roman" w:eastAsia="Yu Gothic"/>
          <w:szCs w:val="20"/>
          <w:lang w:val="en-US" w:eastAsia="zh-CN"/>
        </w:rPr>
      </w:pPr>
    </w:p>
    <w:p>
      <w:pPr>
        <w:rPr>
          <w:rFonts w:hint="default" w:eastAsia="Yu Gothic"/>
          <w:szCs w:val="20"/>
          <w:lang w:val="en-US" w:eastAsia="zh-CN"/>
        </w:rPr>
      </w:pPr>
      <w:r>
        <w:rPr>
          <w:rFonts w:hint="eastAsia" w:eastAsia="Yu Gothic"/>
          <w:szCs w:val="20"/>
          <w:lang w:val="en-US" w:eastAsia="zh-CN"/>
        </w:rPr>
        <w:t xml:space="preserve">Note 1: In </w:t>
      </w:r>
      <w:r>
        <w:rPr>
          <w:rFonts w:hint="eastAsia"/>
          <w:sz w:val="22"/>
          <w:szCs w:val="22"/>
          <w:lang w:val="en-US" w:eastAsia="zh-CN"/>
        </w:rPr>
        <w:t xml:space="preserve">RAN1#109-e </w:t>
      </w:r>
      <w:r>
        <w:rPr>
          <w:rFonts w:hint="eastAsia" w:eastAsia="Yu Gothic"/>
          <w:szCs w:val="20"/>
          <w:lang w:val="en-US" w:eastAsia="zh-CN"/>
        </w:rPr>
        <w:t>agreements, it is noted that  the values of elevation angles are values at the edge of the edge beam. We assume the beam edge loss is 3dB.</w:t>
      </w:r>
    </w:p>
    <w:p>
      <w:pPr>
        <w:rPr>
          <w:rFonts w:hint="default" w:ascii="Times New Roman" w:hAnsi="Times New Roman" w:eastAsia="Yu Gothic"/>
          <w:szCs w:val="20"/>
          <w:lang w:val="en-US" w:eastAsia="zh-CN"/>
        </w:rPr>
      </w:pPr>
    </w:p>
    <w:p>
      <w:pPr>
        <w:rPr>
          <w:rFonts w:hint="default" w:ascii="Times New Roman" w:hAnsi="Times New Roman" w:eastAsia="Yu Gothic"/>
          <w:szCs w:val="20"/>
          <w:lang w:val="en-US" w:eastAsia="zh-CN"/>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2.2 Results of link budget calculation</w:t>
      </w:r>
    </w:p>
    <w:p>
      <w:pPr>
        <w:rPr>
          <w:rFonts w:hint="eastAsia" w:eastAsia="Yu Gothic"/>
          <w:szCs w:val="20"/>
          <w:lang w:val="en-US" w:eastAsia="zh-CN"/>
        </w:rPr>
      </w:pPr>
    </w:p>
    <w:p>
      <w:pPr>
        <w:rPr>
          <w:rFonts w:hint="default" w:eastAsia="Yu Gothic"/>
          <w:szCs w:val="20"/>
          <w:lang w:val="en-US" w:eastAsia="zh-CN"/>
        </w:rPr>
      </w:pPr>
      <w:r>
        <w:rPr>
          <w:rFonts w:hint="eastAsia" w:eastAsia="Yu Gothic"/>
          <w:szCs w:val="20"/>
          <w:lang w:val="en-US" w:eastAsia="zh-CN"/>
        </w:rPr>
        <w:t xml:space="preserve">As listed in </w:t>
      </w:r>
      <w:r>
        <w:rPr>
          <w:rFonts w:hint="eastAsia" w:eastAsia="Yu Gothic"/>
          <w:b/>
          <w:bCs/>
          <w:szCs w:val="20"/>
          <w:lang w:val="en-US" w:eastAsia="zh-CN"/>
        </w:rPr>
        <w:t>table 1</w:t>
      </w:r>
      <w:r>
        <w:rPr>
          <w:rFonts w:hint="eastAsia" w:eastAsia="Yu Gothic"/>
          <w:szCs w:val="20"/>
          <w:lang w:val="en-US" w:eastAsia="zh-CN"/>
        </w:rPr>
        <w:t xml:space="preserve">, there are 10 cases to be evaluated for NR NTN coverage enhancement. Our link budget calculation results are listed in the following </w:t>
      </w:r>
      <w:r>
        <w:rPr>
          <w:rFonts w:hint="eastAsia" w:eastAsia="Yu Gothic"/>
          <w:b w:val="0"/>
          <w:bCs w:val="0"/>
          <w:szCs w:val="20"/>
          <w:lang w:val="en-US" w:eastAsia="zh-CN"/>
        </w:rPr>
        <w:t>tables</w:t>
      </w:r>
      <w:r>
        <w:rPr>
          <w:rFonts w:hint="eastAsia" w:eastAsia="Yu Gothic"/>
          <w:szCs w:val="20"/>
          <w:lang w:val="en-US" w:eastAsia="zh-CN"/>
        </w:rPr>
        <w:t xml:space="preserve">. </w:t>
      </w:r>
      <w:r>
        <w:rPr>
          <w:rFonts w:hint="eastAsia" w:eastAsia="Yu Gothic"/>
          <w:b/>
          <w:bCs/>
          <w:szCs w:val="20"/>
          <w:lang w:val="en-US" w:eastAsia="zh-CN"/>
        </w:rPr>
        <w:t>Table3</w:t>
      </w:r>
      <w:r>
        <w:rPr>
          <w:rFonts w:hint="eastAsia" w:eastAsia="Yu Gothic"/>
          <w:szCs w:val="20"/>
          <w:lang w:val="en-US" w:eastAsia="zh-CN"/>
        </w:rPr>
        <w:t xml:space="preserve"> is for the downlink and </w:t>
      </w:r>
      <w:r>
        <w:rPr>
          <w:rFonts w:hint="eastAsia" w:eastAsia="Yu Gothic"/>
          <w:b/>
          <w:bCs/>
          <w:szCs w:val="20"/>
          <w:lang w:val="en-US" w:eastAsia="zh-CN"/>
        </w:rPr>
        <w:t>Table4</w:t>
      </w:r>
      <w:r>
        <w:rPr>
          <w:rFonts w:hint="eastAsia" w:eastAsia="Yu Gothic"/>
          <w:szCs w:val="20"/>
          <w:lang w:val="en-US" w:eastAsia="zh-CN"/>
        </w:rPr>
        <w:t xml:space="preserve"> is for the uplink.</w:t>
      </w:r>
    </w:p>
    <w:p>
      <w:pPr>
        <w:rPr>
          <w:rFonts w:hint="default" w:eastAsia="Yu Gothic"/>
          <w:szCs w:val="20"/>
          <w:lang w:val="en-US" w:eastAsia="zh-CN"/>
        </w:rPr>
      </w:pPr>
    </w:p>
    <w:p>
      <w:pPr>
        <w:pStyle w:val="11"/>
        <w:rPr>
          <w:lang w:eastAsia="zh-CN"/>
        </w:rPr>
      </w:pPr>
      <w:r>
        <w:rPr>
          <w:rFonts w:hint="eastAsia" w:eastAsia="Yu Gothic"/>
          <w:szCs w:val="20"/>
          <w:lang w:val="en-US" w:eastAsia="zh-CN"/>
        </w:rPr>
        <w:t xml:space="preserve"> </w:t>
      </w:r>
      <w:r>
        <w:t xml:space="preserve">Table </w:t>
      </w:r>
      <w:r>
        <w:rPr>
          <w:rFonts w:hint="eastAsia"/>
          <w:lang w:val="en-US" w:eastAsia="zh-CN"/>
        </w:rPr>
        <w:t>3.</w:t>
      </w:r>
      <w:r>
        <w:t xml:space="preserve"> </w:t>
      </w:r>
      <w:r>
        <w:rPr>
          <w:rFonts w:hint="eastAsia"/>
          <w:lang w:val="en-US" w:eastAsia="zh-CN"/>
        </w:rPr>
        <w:t xml:space="preserve">DL link budget </w:t>
      </w:r>
    </w:p>
    <w:tbl>
      <w:tblPr>
        <w:tblStyle w:val="21"/>
        <w:tblW w:w="9298" w:type="dxa"/>
        <w:tblInd w:w="104" w:type="dxa"/>
        <w:tblLayout w:type="fixed"/>
        <w:tblCellMar>
          <w:top w:w="0" w:type="dxa"/>
          <w:left w:w="0" w:type="dxa"/>
          <w:bottom w:w="0" w:type="dxa"/>
          <w:right w:w="0" w:type="dxa"/>
        </w:tblCellMar>
      </w:tblPr>
      <w:tblGrid>
        <w:gridCol w:w="1140"/>
        <w:gridCol w:w="1140"/>
        <w:gridCol w:w="1272"/>
        <w:gridCol w:w="1212"/>
        <w:gridCol w:w="1327"/>
        <w:gridCol w:w="1593"/>
        <w:gridCol w:w="1614"/>
      </w:tblGrid>
      <w:tr>
        <w:tblPrEx>
          <w:tblCellMar>
            <w:top w:w="0" w:type="dxa"/>
            <w:left w:w="0" w:type="dxa"/>
            <w:bottom w:w="0" w:type="dxa"/>
            <w:right w:w="0" w:type="dxa"/>
          </w:tblCellMar>
        </w:tblPrEx>
        <w:tc>
          <w:tcPr>
            <w:tcW w:w="11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Case</w:t>
            </w:r>
          </w:p>
        </w:tc>
        <w:tc>
          <w:tcPr>
            <w:tcW w:w="11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Satellite orbit</w:t>
            </w:r>
          </w:p>
        </w:tc>
        <w:tc>
          <w:tcPr>
            <w:tcW w:w="127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Satellite parameter set</w:t>
            </w:r>
          </w:p>
        </w:tc>
        <w:tc>
          <w:tcPr>
            <w:tcW w:w="121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Elevation angle (deg)</w:t>
            </w: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b/>
                <w:bCs/>
                <w:szCs w:val="20"/>
                <w:lang w:val="en-US" w:eastAsia="zh-CN"/>
              </w:rPr>
              <w:t>Service type</w:t>
            </w:r>
          </w:p>
        </w:tc>
        <w:tc>
          <w:tcPr>
            <w:tcW w:w="159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jc w:val="left"/>
              <w:textAlignment w:val="baseline"/>
              <w:rPr>
                <w:rFonts w:hint="default" w:ascii="Times New Roman" w:hAnsi="Times New Roman" w:eastAsia="宋体"/>
                <w:b/>
                <w:bCs/>
                <w:szCs w:val="20"/>
                <w:lang w:val="en-US" w:eastAsia="zh-CN"/>
              </w:rPr>
            </w:pPr>
            <w:r>
              <w:rPr>
                <w:rFonts w:hint="eastAsia" w:ascii="Times New Roman" w:hAnsi="Times New Roman" w:eastAsia="宋体"/>
                <w:b/>
                <w:bCs/>
                <w:szCs w:val="20"/>
                <w:lang w:val="en-US" w:eastAsia="zh-CN"/>
              </w:rPr>
              <w:t>DL CNR (dB)</w:t>
            </w:r>
            <w:r>
              <w:rPr>
                <w:rFonts w:hint="eastAsia" w:eastAsia="宋体"/>
                <w:b/>
                <w:bCs/>
                <w:szCs w:val="20"/>
                <w:lang w:val="en-US" w:eastAsia="zh-CN"/>
              </w:rPr>
              <w:t xml:space="preserve"> at beam center</w:t>
            </w:r>
          </w:p>
        </w:tc>
        <w:tc>
          <w:tcPr>
            <w:tcW w:w="161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jc w:val="left"/>
              <w:textAlignment w:val="baseline"/>
              <w:rPr>
                <w:rFonts w:hint="eastAsia" w:ascii="Times New Roman" w:hAnsi="Times New Roman" w:eastAsia="宋体"/>
                <w:b/>
                <w:bCs/>
                <w:szCs w:val="20"/>
                <w:lang w:val="en-US" w:eastAsia="zh-CN"/>
              </w:rPr>
            </w:pPr>
            <w:r>
              <w:rPr>
                <w:rFonts w:hint="eastAsia" w:eastAsia="宋体"/>
                <w:b/>
                <w:bCs/>
                <w:szCs w:val="20"/>
                <w:lang w:val="en-US" w:eastAsia="zh-CN"/>
              </w:rPr>
              <w:t xml:space="preserve">DL </w:t>
            </w:r>
            <w:r>
              <w:rPr>
                <w:rFonts w:hint="eastAsia" w:ascii="Times New Roman" w:hAnsi="Times New Roman" w:eastAsia="宋体"/>
                <w:b/>
                <w:bCs/>
                <w:szCs w:val="20"/>
                <w:lang w:val="en-US" w:eastAsia="zh-CN"/>
              </w:rPr>
              <w:t>CNR (dB)</w:t>
            </w:r>
          </w:p>
          <w:p>
            <w:pPr>
              <w:overflowPunct w:val="0"/>
              <w:autoSpaceDE w:val="0"/>
              <w:autoSpaceDN w:val="0"/>
              <w:jc w:val="left"/>
              <w:textAlignment w:val="baseline"/>
              <w:rPr>
                <w:rFonts w:hint="default" w:ascii="Times New Roman" w:hAnsi="Times New Roman" w:eastAsia="宋体"/>
                <w:b/>
                <w:bCs/>
                <w:szCs w:val="20"/>
                <w:lang w:val="en-US" w:eastAsia="zh-CN"/>
              </w:rPr>
            </w:pPr>
            <w:r>
              <w:rPr>
                <w:rFonts w:hint="eastAsia" w:eastAsia="宋体"/>
                <w:b/>
                <w:bCs/>
                <w:szCs w:val="20"/>
                <w:lang w:val="en-US" w:eastAsia="zh-CN"/>
              </w:rPr>
              <w:t>at beam edge</w:t>
            </w: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1</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GEO</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1</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12.5</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Low-data rate service</w:t>
            </w:r>
          </w:p>
        </w:tc>
        <w:tc>
          <w:tcPr>
            <w:tcW w:w="159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-8.0</w:t>
            </w:r>
          </w:p>
        </w:tc>
        <w:tc>
          <w:tcPr>
            <w:tcW w:w="161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w:t>
            </w:r>
            <w:r>
              <w:rPr>
                <w:rFonts w:hint="eastAsia" w:eastAsia="宋体" w:cs="Times New Roman"/>
                <w:sz w:val="20"/>
                <w:szCs w:val="20"/>
                <w:lang w:val="en-US" w:eastAsia="zh-CN"/>
              </w:rPr>
              <w:t>11</w:t>
            </w: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GEO</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Low-data rate service</w:t>
            </w:r>
          </w:p>
        </w:tc>
        <w:tc>
          <w:tcPr>
            <w:tcW w:w="159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-13.3</w:t>
            </w:r>
          </w:p>
        </w:tc>
        <w:tc>
          <w:tcPr>
            <w:tcW w:w="161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w:t>
            </w:r>
            <w:r>
              <w:rPr>
                <w:rFonts w:hint="eastAsia" w:eastAsia="宋体" w:cs="Times New Roman"/>
                <w:sz w:val="20"/>
                <w:szCs w:val="20"/>
                <w:lang w:val="en-US" w:eastAsia="zh-CN"/>
              </w:rPr>
              <w:t>16.3</w:t>
            </w: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w:t>
            </w:r>
            <w:r>
              <w:rPr>
                <w:rFonts w:ascii="Times New Roman" w:hAnsi="Times New Roman" w:eastAsia="Yu Gothic"/>
                <w:sz w:val="20"/>
                <w:szCs w:val="20"/>
                <w:lang w:val="en-US" w:eastAsia="zh-CN"/>
              </w:rPr>
              <w:br w:type="textWrapping"/>
            </w:r>
            <w:r>
              <w:rPr>
                <w:rFonts w:ascii="Times New Roman" w:hAnsi="Times New Roman" w:eastAsia="Yu Gothic"/>
                <w:sz w:val="20"/>
                <w:szCs w:val="20"/>
                <w:lang w:val="en-US" w:eastAsia="zh-CN"/>
              </w:rPr>
              <w:t>Optional</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LEO-1200</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1</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VoIP</w:t>
            </w:r>
          </w:p>
        </w:tc>
        <w:tc>
          <w:tcPr>
            <w:tcW w:w="159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-0.8</w:t>
            </w:r>
          </w:p>
        </w:tc>
        <w:tc>
          <w:tcPr>
            <w:tcW w:w="161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w:t>
            </w:r>
            <w:r>
              <w:rPr>
                <w:rFonts w:hint="eastAsia" w:eastAsia="宋体" w:cs="Times New Roman"/>
                <w:sz w:val="20"/>
                <w:szCs w:val="20"/>
                <w:lang w:val="en-US" w:eastAsia="zh-CN"/>
              </w:rPr>
              <w:t>3.8</w:t>
            </w: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4</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LEO-1200</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VoIP</w:t>
            </w:r>
          </w:p>
        </w:tc>
        <w:tc>
          <w:tcPr>
            <w:tcW w:w="1593" w:type="dxa"/>
            <w:vMerge w:val="restart"/>
            <w:tcBorders>
              <w:top w:val="nil"/>
              <w:left w:val="nil"/>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-6.8</w:t>
            </w:r>
          </w:p>
        </w:tc>
        <w:tc>
          <w:tcPr>
            <w:tcW w:w="1614" w:type="dxa"/>
            <w:vMerge w:val="restart"/>
            <w:tcBorders>
              <w:top w:val="nil"/>
              <w:left w:val="nil"/>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w:t>
            </w:r>
            <w:r>
              <w:rPr>
                <w:rFonts w:hint="eastAsia" w:eastAsia="宋体" w:cs="Times New Roman"/>
                <w:sz w:val="20"/>
                <w:szCs w:val="20"/>
                <w:lang w:val="en-US" w:eastAsia="zh-CN"/>
              </w:rPr>
              <w:t>9.8</w:t>
            </w: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 xml:space="preserve">5 </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LEO-1200</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Low-data rate service</w:t>
            </w:r>
          </w:p>
        </w:tc>
        <w:tc>
          <w:tcPr>
            <w:tcW w:w="1593" w:type="dxa"/>
            <w:vMerge w:val="continue"/>
            <w:tcBorders>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p>
        </w:tc>
        <w:tc>
          <w:tcPr>
            <w:tcW w:w="1614" w:type="dxa"/>
            <w:vMerge w:val="continue"/>
            <w:tcBorders>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6</w:t>
            </w:r>
            <w:r>
              <w:rPr>
                <w:rFonts w:ascii="Times New Roman" w:hAnsi="Times New Roman" w:eastAsia="Yu Gothic"/>
                <w:sz w:val="20"/>
                <w:szCs w:val="20"/>
                <w:lang w:val="en-US" w:eastAsia="zh-CN"/>
              </w:rPr>
              <w:br w:type="textWrapping"/>
            </w:r>
            <w:r>
              <w:rPr>
                <w:rFonts w:ascii="Times New Roman" w:hAnsi="Times New Roman" w:eastAsia="Yu Gothic"/>
                <w:sz w:val="20"/>
                <w:szCs w:val="20"/>
                <w:lang w:val="en-US" w:eastAsia="zh-CN"/>
              </w:rPr>
              <w:t>Optional</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LEO-600</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1</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VoIP</w:t>
            </w:r>
          </w:p>
        </w:tc>
        <w:tc>
          <w:tcPr>
            <w:tcW w:w="159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-1.4</w:t>
            </w:r>
          </w:p>
        </w:tc>
        <w:tc>
          <w:tcPr>
            <w:tcW w:w="161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w:t>
            </w:r>
            <w:r>
              <w:rPr>
                <w:rFonts w:hint="eastAsia" w:eastAsia="宋体"/>
                <w:sz w:val="20"/>
                <w:szCs w:val="20"/>
                <w:lang w:val="en-US" w:eastAsia="zh-CN"/>
              </w:rPr>
              <w:t>4.4</w:t>
            </w: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 xml:space="preserve">7 </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LEO-600</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VoIP</w:t>
            </w:r>
          </w:p>
        </w:tc>
        <w:tc>
          <w:tcPr>
            <w:tcW w:w="1593" w:type="dxa"/>
            <w:vMerge w:val="restart"/>
            <w:tcBorders>
              <w:top w:val="nil"/>
              <w:left w:val="nil"/>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zh-CN"/>
              </w:rPr>
            </w:pPr>
          </w:p>
          <w:p>
            <w:pPr>
              <w:overflowPunct w:val="0"/>
              <w:autoSpaceDE w:val="0"/>
              <w:autoSpaceDN w:val="0"/>
              <w:jc w:val="center"/>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-7.4</w:t>
            </w:r>
          </w:p>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p>
        </w:tc>
        <w:tc>
          <w:tcPr>
            <w:tcW w:w="1614" w:type="dxa"/>
            <w:vMerge w:val="restart"/>
            <w:tcBorders>
              <w:top w:val="nil"/>
              <w:left w:val="nil"/>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w:t>
            </w:r>
            <w:r>
              <w:rPr>
                <w:rFonts w:hint="eastAsia" w:eastAsia="宋体"/>
                <w:sz w:val="20"/>
                <w:szCs w:val="20"/>
                <w:lang w:val="en-US" w:eastAsia="zh-CN"/>
              </w:rPr>
              <w:t>10.4</w:t>
            </w:r>
          </w:p>
        </w:tc>
      </w:tr>
      <w:tr>
        <w:tblPrEx>
          <w:tblCellMar>
            <w:top w:w="0" w:type="dxa"/>
            <w:left w:w="0" w:type="dxa"/>
            <w:bottom w:w="0" w:type="dxa"/>
            <w:right w:w="0" w:type="dxa"/>
          </w:tblCellMar>
        </w:tblPrEx>
        <w:trPr>
          <w:trHeight w:val="90" w:hRule="atLeast"/>
        </w:trPr>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8</w:t>
            </w:r>
            <w:r>
              <w:rPr>
                <w:rFonts w:ascii="Times New Roman" w:hAnsi="Times New Roman" w:eastAsia="Yu Gothic"/>
                <w:sz w:val="20"/>
                <w:szCs w:val="20"/>
                <w:lang w:val="en-US" w:eastAsia="zh-CN"/>
              </w:rPr>
              <w:br w:type="textWrapping"/>
            </w:r>
            <w:r>
              <w:rPr>
                <w:rFonts w:ascii="Times New Roman" w:hAnsi="Times New Roman" w:eastAsia="Yu Gothic"/>
                <w:sz w:val="20"/>
                <w:szCs w:val="20"/>
                <w:lang w:val="en-US" w:eastAsia="zh-CN"/>
              </w:rPr>
              <w:t>Optional</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LEO-600</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Low-data rate service</w:t>
            </w:r>
          </w:p>
        </w:tc>
        <w:tc>
          <w:tcPr>
            <w:tcW w:w="1593" w:type="dxa"/>
            <w:vMerge w:val="continue"/>
            <w:tcBorders>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p>
        </w:tc>
        <w:tc>
          <w:tcPr>
            <w:tcW w:w="1614" w:type="dxa"/>
            <w:vMerge w:val="continue"/>
            <w:tcBorders>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ascii="Times New Roman" w:hAnsi="Times New Roman" w:eastAsia="Yu Gothic"/>
                <w:sz w:val="20"/>
                <w:szCs w:val="20"/>
                <w:lang w:val="en-US" w:eastAsia="ko-KR"/>
              </w:rPr>
            </w:pP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rPr>
              <w:t>9</w:t>
            </w:r>
            <w:r>
              <w:rPr>
                <w:rFonts w:ascii="Times New Roman" w:hAnsi="Times New Roman" w:eastAsia="Yu Gothic"/>
                <w:sz w:val="20"/>
                <w:szCs w:val="20"/>
                <w:lang w:val="en-US"/>
              </w:rPr>
              <w:br w:type="textWrapping"/>
            </w:r>
            <w:r>
              <w:rPr>
                <w:rFonts w:ascii="Times New Roman" w:hAnsi="Times New Roman" w:eastAsia="Yu Gothic"/>
                <w:sz w:val="20"/>
                <w:szCs w:val="20"/>
                <w:lang w:val="en-US"/>
              </w:rPr>
              <w:t>Optional</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rPr>
              <w:t>MEO</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1</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Low-data rate service</w:t>
            </w:r>
          </w:p>
        </w:tc>
        <w:tc>
          <w:tcPr>
            <w:tcW w:w="159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-5.6</w:t>
            </w:r>
          </w:p>
        </w:tc>
        <w:tc>
          <w:tcPr>
            <w:tcW w:w="161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w:t>
            </w:r>
            <w:r>
              <w:rPr>
                <w:rFonts w:hint="eastAsia" w:eastAsia="宋体" w:cs="Times New Roman"/>
                <w:sz w:val="20"/>
                <w:szCs w:val="20"/>
                <w:lang w:val="en-US" w:eastAsia="zh-CN"/>
              </w:rPr>
              <w:t>8.6</w:t>
            </w: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rPr>
              <w:t>10</w:t>
            </w:r>
            <w:r>
              <w:rPr>
                <w:rFonts w:ascii="Times New Roman" w:hAnsi="Times New Roman" w:eastAsia="Yu Gothic"/>
                <w:sz w:val="20"/>
                <w:szCs w:val="20"/>
                <w:lang w:val="en-US"/>
              </w:rPr>
              <w:br w:type="textWrapping"/>
            </w:r>
            <w:r>
              <w:rPr>
                <w:rFonts w:ascii="Times New Roman" w:hAnsi="Times New Roman" w:eastAsia="Yu Gothic"/>
                <w:sz w:val="20"/>
                <w:szCs w:val="20"/>
                <w:lang w:val="en-US"/>
              </w:rPr>
              <w:t>Optional</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rPr>
              <w:t>MEO</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Low-data rate service</w:t>
            </w:r>
          </w:p>
        </w:tc>
        <w:tc>
          <w:tcPr>
            <w:tcW w:w="159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-11.2</w:t>
            </w:r>
          </w:p>
        </w:tc>
        <w:tc>
          <w:tcPr>
            <w:tcW w:w="161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w:t>
            </w:r>
            <w:r>
              <w:rPr>
                <w:rFonts w:hint="eastAsia" w:eastAsia="宋体" w:cs="Times New Roman"/>
                <w:sz w:val="20"/>
                <w:szCs w:val="20"/>
                <w:lang w:val="en-US" w:eastAsia="zh-CN"/>
              </w:rPr>
              <w:t>14.2</w:t>
            </w:r>
          </w:p>
        </w:tc>
      </w:tr>
    </w:tbl>
    <w:p>
      <w:pPr>
        <w:rPr>
          <w:lang w:eastAsia="zh-CN"/>
        </w:rPr>
      </w:pPr>
    </w:p>
    <w:p>
      <w:pPr>
        <w:rPr>
          <w:lang w:eastAsia="zh-CN"/>
        </w:rPr>
      </w:pPr>
    </w:p>
    <w:p>
      <w:pPr>
        <w:pStyle w:val="11"/>
        <w:rPr>
          <w:lang w:eastAsia="zh-CN"/>
        </w:rPr>
      </w:pPr>
      <w:r>
        <w:rPr>
          <w:rFonts w:hint="eastAsia" w:eastAsia="Yu Gothic"/>
          <w:szCs w:val="20"/>
          <w:lang w:val="en-US" w:eastAsia="zh-CN"/>
        </w:rPr>
        <w:t xml:space="preserve"> </w:t>
      </w:r>
      <w:r>
        <w:t xml:space="preserve">Table </w:t>
      </w:r>
      <w:r>
        <w:rPr>
          <w:rFonts w:hint="eastAsia"/>
          <w:lang w:val="en-US" w:eastAsia="zh-CN"/>
        </w:rPr>
        <w:t xml:space="preserve">4. UL link budget </w:t>
      </w:r>
    </w:p>
    <w:tbl>
      <w:tblPr>
        <w:tblStyle w:val="21"/>
        <w:tblW w:w="9284" w:type="dxa"/>
        <w:tblInd w:w="104" w:type="dxa"/>
        <w:tblLayout w:type="fixed"/>
        <w:tblCellMar>
          <w:top w:w="0" w:type="dxa"/>
          <w:left w:w="0" w:type="dxa"/>
          <w:bottom w:w="0" w:type="dxa"/>
          <w:right w:w="0" w:type="dxa"/>
        </w:tblCellMar>
      </w:tblPr>
      <w:tblGrid>
        <w:gridCol w:w="1140"/>
        <w:gridCol w:w="1140"/>
        <w:gridCol w:w="1272"/>
        <w:gridCol w:w="1212"/>
        <w:gridCol w:w="1327"/>
        <w:gridCol w:w="1567"/>
        <w:gridCol w:w="1626"/>
      </w:tblGrid>
      <w:tr>
        <w:tblPrEx>
          <w:tblCellMar>
            <w:top w:w="0" w:type="dxa"/>
            <w:left w:w="0" w:type="dxa"/>
            <w:bottom w:w="0" w:type="dxa"/>
            <w:right w:w="0" w:type="dxa"/>
          </w:tblCellMar>
        </w:tblPrEx>
        <w:tc>
          <w:tcPr>
            <w:tcW w:w="11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Case</w:t>
            </w:r>
          </w:p>
        </w:tc>
        <w:tc>
          <w:tcPr>
            <w:tcW w:w="11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Satellite orbit</w:t>
            </w:r>
          </w:p>
        </w:tc>
        <w:tc>
          <w:tcPr>
            <w:tcW w:w="127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Satellite parameter set</w:t>
            </w:r>
          </w:p>
        </w:tc>
        <w:tc>
          <w:tcPr>
            <w:tcW w:w="121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Cs w:val="20"/>
                <w:lang w:val="en-US" w:eastAsia="ko-KR"/>
              </w:rPr>
            </w:pPr>
            <w:r>
              <w:rPr>
                <w:rFonts w:ascii="Times New Roman" w:hAnsi="Times New Roman" w:eastAsia="Yu Gothic"/>
                <w:b/>
                <w:bCs/>
                <w:szCs w:val="20"/>
                <w:lang w:val="en-US" w:eastAsia="zh-CN"/>
              </w:rPr>
              <w:t>Elevation angle (deg)</w:t>
            </w: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b/>
                <w:bCs/>
                <w:szCs w:val="20"/>
                <w:lang w:val="en-US" w:eastAsia="zh-CN"/>
              </w:rPr>
              <w:t>Service type</w:t>
            </w:r>
          </w:p>
        </w:tc>
        <w:tc>
          <w:tcPr>
            <w:tcW w:w="156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jc w:val="left"/>
              <w:textAlignment w:val="baseline"/>
              <w:rPr>
                <w:rFonts w:hint="default" w:ascii="Times New Roman" w:hAnsi="Times New Roman" w:eastAsia="宋体"/>
                <w:b/>
                <w:bCs/>
                <w:szCs w:val="20"/>
                <w:lang w:val="en-US" w:eastAsia="zh-CN"/>
              </w:rPr>
            </w:pPr>
            <w:r>
              <w:rPr>
                <w:rFonts w:hint="eastAsia" w:ascii="Times New Roman" w:hAnsi="Times New Roman" w:eastAsia="宋体"/>
                <w:b/>
                <w:bCs/>
                <w:szCs w:val="20"/>
                <w:lang w:val="en-US" w:eastAsia="zh-CN"/>
              </w:rPr>
              <w:t>UL CNR (dB)</w:t>
            </w:r>
            <w:r>
              <w:rPr>
                <w:rFonts w:hint="eastAsia" w:eastAsia="宋体"/>
                <w:b/>
                <w:bCs/>
                <w:szCs w:val="20"/>
                <w:lang w:val="en-US" w:eastAsia="zh-CN"/>
              </w:rPr>
              <w:t xml:space="preserve"> at beam center</w:t>
            </w:r>
          </w:p>
        </w:tc>
        <w:tc>
          <w:tcPr>
            <w:tcW w:w="1626"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jc w:val="left"/>
              <w:textAlignment w:val="baseline"/>
              <w:rPr>
                <w:rFonts w:hint="default" w:ascii="Times New Roman" w:hAnsi="Times New Roman" w:eastAsia="宋体"/>
                <w:b/>
                <w:bCs/>
                <w:szCs w:val="20"/>
                <w:lang w:val="en-US" w:eastAsia="zh-CN"/>
              </w:rPr>
            </w:pPr>
            <w:r>
              <w:rPr>
                <w:rFonts w:hint="eastAsia" w:ascii="Times New Roman" w:hAnsi="Times New Roman" w:eastAsia="宋体"/>
                <w:b/>
                <w:bCs/>
                <w:szCs w:val="20"/>
                <w:lang w:val="en-US" w:eastAsia="zh-CN"/>
              </w:rPr>
              <w:t>UL CNR (dB)</w:t>
            </w:r>
            <w:r>
              <w:rPr>
                <w:rFonts w:hint="eastAsia" w:eastAsia="宋体"/>
                <w:b/>
                <w:bCs/>
                <w:szCs w:val="20"/>
                <w:lang w:val="en-US" w:eastAsia="zh-CN"/>
              </w:rPr>
              <w:t xml:space="preserve"> at beam edge</w:t>
            </w: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1</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GEO</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1</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12.5</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Low-data rate service</w:t>
            </w:r>
          </w:p>
        </w:tc>
        <w:tc>
          <w:tcPr>
            <w:tcW w:w="156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eastAsia="宋体"/>
                <w:sz w:val="20"/>
                <w:szCs w:val="20"/>
                <w:lang w:val="en-US" w:eastAsia="zh-CN"/>
              </w:rPr>
            </w:pPr>
            <w:r>
              <w:rPr>
                <w:rFonts w:hint="eastAsia" w:ascii="Times New Roman" w:hAnsi="Times New Roman" w:eastAsia="宋体" w:cs="Times New Roman"/>
                <w:sz w:val="20"/>
                <w:szCs w:val="20"/>
                <w:lang w:val="en-US" w:eastAsia="zh-CN"/>
              </w:rPr>
              <w:t xml:space="preserve">-15.9 </w:t>
            </w:r>
            <w:r>
              <w:rPr>
                <w:rFonts w:hint="eastAsia" w:ascii="Times New Roman" w:hAnsi="Times New Roman" w:eastAsia="宋体"/>
                <w:sz w:val="20"/>
                <w:szCs w:val="20"/>
                <w:lang w:val="en-US" w:eastAsia="zh-CN"/>
              </w:rPr>
              <w:t>-</w:t>
            </w:r>
            <w:r>
              <w:rPr>
                <w:rFonts w:hint="eastAsia" w:eastAsia="宋体"/>
                <w:sz w:val="20"/>
                <w:szCs w:val="20"/>
                <w:lang w:val="en-US" w:eastAsia="zh-CN"/>
              </w:rPr>
              <w:t xml:space="preserve"> W </w:t>
            </w:r>
          </w:p>
          <w:p>
            <w:pPr>
              <w:overflowPunct w:val="0"/>
              <w:autoSpaceDE w:val="0"/>
              <w:autoSpaceDN w:val="0"/>
              <w:jc w:val="center"/>
              <w:textAlignment w:val="baseline"/>
              <w:rPr>
                <w:rFonts w:hint="default" w:eastAsia="宋体"/>
                <w:sz w:val="20"/>
                <w:szCs w:val="20"/>
                <w:lang w:val="en-US" w:eastAsia="zh-CN"/>
              </w:rPr>
            </w:pPr>
            <w:r>
              <w:rPr>
                <w:rFonts w:hint="eastAsia" w:eastAsia="宋体"/>
                <w:sz w:val="20"/>
                <w:szCs w:val="20"/>
                <w:lang w:val="en-US" w:eastAsia="zh-CN"/>
              </w:rPr>
              <w:t>(*Note2)</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-1</w:t>
            </w:r>
            <w:r>
              <w:rPr>
                <w:rFonts w:hint="eastAsia" w:eastAsia="宋体" w:cs="Times New Roman"/>
                <w:sz w:val="20"/>
                <w:szCs w:val="20"/>
                <w:lang w:val="en-US" w:eastAsia="zh-CN"/>
              </w:rPr>
              <w:t>8</w:t>
            </w:r>
            <w:r>
              <w:rPr>
                <w:rFonts w:hint="eastAsia" w:ascii="Times New Roman" w:hAnsi="Times New Roman" w:eastAsia="宋体" w:cs="Times New Roman"/>
                <w:sz w:val="20"/>
                <w:szCs w:val="20"/>
                <w:lang w:val="en-US" w:eastAsia="zh-CN"/>
              </w:rPr>
              <w:t xml:space="preserve">.9 </w:t>
            </w:r>
            <w:r>
              <w:rPr>
                <w:rFonts w:hint="eastAsia" w:ascii="Times New Roman" w:hAnsi="Times New Roman" w:eastAsia="宋体"/>
                <w:sz w:val="20"/>
                <w:szCs w:val="20"/>
                <w:lang w:val="en-US" w:eastAsia="zh-CN"/>
              </w:rPr>
              <w:t>-</w:t>
            </w:r>
            <w:r>
              <w:rPr>
                <w:rFonts w:hint="eastAsia" w:eastAsia="宋体"/>
                <w:sz w:val="20"/>
                <w:szCs w:val="20"/>
                <w:lang w:val="en-US" w:eastAsia="zh-CN"/>
              </w:rPr>
              <w:t xml:space="preserve"> W</w:t>
            </w: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GEO</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Low-data rate service</w:t>
            </w:r>
          </w:p>
        </w:tc>
        <w:tc>
          <w:tcPr>
            <w:tcW w:w="156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-20.8 </w:t>
            </w:r>
            <w:r>
              <w:rPr>
                <w:rFonts w:hint="eastAsia" w:ascii="Times New Roman" w:hAnsi="Times New Roman" w:eastAsia="宋体"/>
                <w:sz w:val="20"/>
                <w:szCs w:val="20"/>
                <w:lang w:val="en-US" w:eastAsia="zh-CN"/>
              </w:rPr>
              <w:t>-</w:t>
            </w:r>
            <w:r>
              <w:rPr>
                <w:rFonts w:hint="eastAsia" w:eastAsia="宋体"/>
                <w:sz w:val="20"/>
                <w:szCs w:val="20"/>
                <w:lang w:val="en-US" w:eastAsia="zh-CN"/>
              </w:rPr>
              <w:t xml:space="preserve"> W</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-2</w:t>
            </w:r>
            <w:r>
              <w:rPr>
                <w:rFonts w:hint="eastAsia" w:eastAsia="宋体" w:cs="Times New Roman"/>
                <w:sz w:val="20"/>
                <w:szCs w:val="20"/>
                <w:lang w:val="en-US" w:eastAsia="zh-CN"/>
              </w:rPr>
              <w:t>3</w:t>
            </w:r>
            <w:r>
              <w:rPr>
                <w:rFonts w:hint="eastAsia" w:ascii="Times New Roman" w:hAnsi="Times New Roman" w:eastAsia="宋体" w:cs="Times New Roman"/>
                <w:sz w:val="20"/>
                <w:szCs w:val="20"/>
                <w:lang w:val="en-US" w:eastAsia="zh-CN"/>
              </w:rPr>
              <w:t xml:space="preserve">.8 </w:t>
            </w:r>
            <w:r>
              <w:rPr>
                <w:rFonts w:hint="eastAsia" w:ascii="Times New Roman" w:hAnsi="Times New Roman" w:eastAsia="宋体"/>
                <w:sz w:val="20"/>
                <w:szCs w:val="20"/>
                <w:lang w:val="en-US" w:eastAsia="zh-CN"/>
              </w:rPr>
              <w:t>-</w:t>
            </w:r>
            <w:r>
              <w:rPr>
                <w:rFonts w:hint="eastAsia" w:eastAsia="宋体"/>
                <w:sz w:val="20"/>
                <w:szCs w:val="20"/>
                <w:lang w:val="en-US" w:eastAsia="zh-CN"/>
              </w:rPr>
              <w:t xml:space="preserve"> W</w:t>
            </w: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w:t>
            </w:r>
            <w:r>
              <w:rPr>
                <w:rFonts w:ascii="Times New Roman" w:hAnsi="Times New Roman" w:eastAsia="Yu Gothic"/>
                <w:sz w:val="20"/>
                <w:szCs w:val="20"/>
                <w:lang w:val="en-US" w:eastAsia="zh-CN"/>
              </w:rPr>
              <w:br w:type="textWrapping"/>
            </w:r>
            <w:r>
              <w:rPr>
                <w:rFonts w:ascii="Times New Roman" w:hAnsi="Times New Roman" w:eastAsia="Yu Gothic"/>
                <w:sz w:val="20"/>
                <w:szCs w:val="20"/>
                <w:lang w:val="en-US" w:eastAsia="zh-CN"/>
              </w:rPr>
              <w:t>Optional</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LEO-1200</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1</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VoIP</w:t>
            </w:r>
          </w:p>
        </w:tc>
        <w:tc>
          <w:tcPr>
            <w:tcW w:w="156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-7.6 </w:t>
            </w:r>
            <w:r>
              <w:rPr>
                <w:rFonts w:hint="eastAsia" w:ascii="Times New Roman" w:hAnsi="Times New Roman" w:eastAsia="宋体"/>
                <w:sz w:val="20"/>
                <w:szCs w:val="20"/>
                <w:lang w:val="en-US" w:eastAsia="zh-CN"/>
              </w:rPr>
              <w:t>-</w:t>
            </w:r>
            <w:r>
              <w:rPr>
                <w:rFonts w:hint="eastAsia" w:eastAsia="宋体"/>
                <w:sz w:val="20"/>
                <w:szCs w:val="20"/>
                <w:lang w:val="en-US" w:eastAsia="zh-CN"/>
              </w:rPr>
              <w:t xml:space="preserve"> W</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w:t>
            </w:r>
            <w:r>
              <w:rPr>
                <w:rFonts w:hint="eastAsia" w:eastAsia="宋体" w:cs="Times New Roman"/>
                <w:sz w:val="20"/>
                <w:szCs w:val="20"/>
                <w:lang w:val="en-US" w:eastAsia="zh-CN"/>
              </w:rPr>
              <w:t>10</w:t>
            </w:r>
            <w:r>
              <w:rPr>
                <w:rFonts w:hint="eastAsia" w:ascii="Times New Roman" w:hAnsi="Times New Roman" w:eastAsia="宋体" w:cs="Times New Roman"/>
                <w:sz w:val="20"/>
                <w:szCs w:val="20"/>
                <w:lang w:val="en-US" w:eastAsia="zh-CN"/>
              </w:rPr>
              <w:t xml:space="preserve">.6 </w:t>
            </w:r>
            <w:r>
              <w:rPr>
                <w:rFonts w:hint="eastAsia" w:ascii="Times New Roman" w:hAnsi="Times New Roman" w:eastAsia="宋体"/>
                <w:sz w:val="20"/>
                <w:szCs w:val="20"/>
                <w:lang w:val="en-US" w:eastAsia="zh-CN"/>
              </w:rPr>
              <w:t>-</w:t>
            </w:r>
            <w:r>
              <w:rPr>
                <w:rFonts w:hint="eastAsia" w:eastAsia="宋体"/>
                <w:sz w:val="20"/>
                <w:szCs w:val="20"/>
                <w:lang w:val="en-US" w:eastAsia="zh-CN"/>
              </w:rPr>
              <w:t xml:space="preserve"> W</w:t>
            </w: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4</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LEO-1200</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VoIP</w:t>
            </w:r>
          </w:p>
        </w:tc>
        <w:tc>
          <w:tcPr>
            <w:tcW w:w="1567" w:type="dxa"/>
            <w:vMerge w:val="restart"/>
            <w:tcBorders>
              <w:top w:val="nil"/>
              <w:left w:val="nil"/>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-13.6 - </w:t>
            </w:r>
            <w:r>
              <w:rPr>
                <w:rFonts w:hint="eastAsia" w:eastAsia="宋体" w:cs="Times New Roman"/>
                <w:sz w:val="20"/>
                <w:szCs w:val="20"/>
                <w:lang w:val="en-US" w:eastAsia="zh-CN"/>
              </w:rPr>
              <w:t>W</w:t>
            </w:r>
          </w:p>
        </w:tc>
        <w:tc>
          <w:tcPr>
            <w:tcW w:w="1626" w:type="dxa"/>
            <w:vMerge w:val="restart"/>
            <w:tcBorders>
              <w:top w:val="nil"/>
              <w:left w:val="nil"/>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-1</w:t>
            </w:r>
            <w:r>
              <w:rPr>
                <w:rFonts w:hint="eastAsia" w:eastAsia="宋体" w:cs="Times New Roman"/>
                <w:sz w:val="20"/>
                <w:szCs w:val="20"/>
                <w:lang w:val="en-US" w:eastAsia="zh-CN"/>
              </w:rPr>
              <w:t>6</w:t>
            </w:r>
            <w:r>
              <w:rPr>
                <w:rFonts w:hint="eastAsia" w:ascii="Times New Roman" w:hAnsi="Times New Roman" w:eastAsia="宋体" w:cs="Times New Roman"/>
                <w:sz w:val="20"/>
                <w:szCs w:val="20"/>
                <w:lang w:val="en-US" w:eastAsia="zh-CN"/>
              </w:rPr>
              <w:t xml:space="preserve">.6 - </w:t>
            </w:r>
            <w:r>
              <w:rPr>
                <w:rFonts w:hint="eastAsia" w:eastAsia="宋体" w:cs="Times New Roman"/>
                <w:sz w:val="20"/>
                <w:szCs w:val="20"/>
                <w:lang w:val="en-US" w:eastAsia="zh-CN"/>
              </w:rPr>
              <w:t>W</w:t>
            </w: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 xml:space="preserve">5 </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LEO-1200</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Low-data rate service</w:t>
            </w:r>
          </w:p>
        </w:tc>
        <w:tc>
          <w:tcPr>
            <w:tcW w:w="1567" w:type="dxa"/>
            <w:vMerge w:val="continue"/>
            <w:tcBorders>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p>
        </w:tc>
        <w:tc>
          <w:tcPr>
            <w:tcW w:w="1626" w:type="dxa"/>
            <w:vMerge w:val="continue"/>
            <w:tcBorders>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6</w:t>
            </w:r>
            <w:r>
              <w:rPr>
                <w:rFonts w:ascii="Times New Roman" w:hAnsi="Times New Roman" w:eastAsia="Yu Gothic"/>
                <w:sz w:val="20"/>
                <w:szCs w:val="20"/>
                <w:lang w:val="en-US" w:eastAsia="zh-CN"/>
              </w:rPr>
              <w:br w:type="textWrapping"/>
            </w:r>
            <w:r>
              <w:rPr>
                <w:rFonts w:ascii="Times New Roman" w:hAnsi="Times New Roman" w:eastAsia="Yu Gothic"/>
                <w:sz w:val="20"/>
                <w:szCs w:val="20"/>
                <w:lang w:val="en-US" w:eastAsia="zh-CN"/>
              </w:rPr>
              <w:t>Optional</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LEO-600</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1</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VoIP</w:t>
            </w:r>
          </w:p>
        </w:tc>
        <w:tc>
          <w:tcPr>
            <w:tcW w:w="156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sz w:val="20"/>
                <w:szCs w:val="20"/>
                <w:lang w:val="en-US" w:eastAsia="zh-CN"/>
              </w:rPr>
              <w:t>-2.2 -</w:t>
            </w:r>
            <w:r>
              <w:rPr>
                <w:rFonts w:hint="eastAsia" w:eastAsia="宋体"/>
                <w:sz w:val="20"/>
                <w:szCs w:val="20"/>
                <w:lang w:val="en-US" w:eastAsia="zh-CN"/>
              </w:rPr>
              <w:t xml:space="preserve"> W</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w:t>
            </w:r>
            <w:r>
              <w:rPr>
                <w:rFonts w:hint="eastAsia" w:eastAsia="宋体"/>
                <w:sz w:val="20"/>
                <w:szCs w:val="20"/>
                <w:lang w:val="en-US" w:eastAsia="zh-CN"/>
              </w:rPr>
              <w:t>5</w:t>
            </w:r>
            <w:r>
              <w:rPr>
                <w:rFonts w:hint="eastAsia" w:ascii="Times New Roman" w:hAnsi="Times New Roman" w:eastAsia="宋体"/>
                <w:sz w:val="20"/>
                <w:szCs w:val="20"/>
                <w:lang w:val="en-US" w:eastAsia="zh-CN"/>
              </w:rPr>
              <w:t>.2 -</w:t>
            </w:r>
            <w:r>
              <w:rPr>
                <w:rFonts w:hint="eastAsia" w:eastAsia="宋体"/>
                <w:sz w:val="20"/>
                <w:szCs w:val="20"/>
                <w:lang w:val="en-US" w:eastAsia="zh-CN"/>
              </w:rPr>
              <w:t xml:space="preserve"> W</w:t>
            </w: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 xml:space="preserve">7 </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LEO-600</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VoIP</w:t>
            </w:r>
          </w:p>
        </w:tc>
        <w:tc>
          <w:tcPr>
            <w:tcW w:w="1567" w:type="dxa"/>
            <w:vMerge w:val="restart"/>
            <w:tcBorders>
              <w:top w:val="nil"/>
              <w:left w:val="nil"/>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r>
              <w:rPr>
                <w:rFonts w:hint="eastAsia" w:ascii="Times New Roman" w:hAnsi="Times New Roman" w:eastAsia="宋体"/>
                <w:sz w:val="20"/>
                <w:szCs w:val="20"/>
                <w:lang w:val="en-US" w:eastAsia="zh-CN"/>
              </w:rPr>
              <w:t>-8.2 -</w:t>
            </w:r>
            <w:r>
              <w:rPr>
                <w:rFonts w:hint="eastAsia" w:eastAsia="宋体"/>
                <w:sz w:val="20"/>
                <w:szCs w:val="20"/>
                <w:lang w:val="en-US" w:eastAsia="zh-CN"/>
              </w:rPr>
              <w:t xml:space="preserve"> W</w:t>
            </w:r>
          </w:p>
        </w:tc>
        <w:tc>
          <w:tcPr>
            <w:tcW w:w="1626" w:type="dxa"/>
            <w:vMerge w:val="restart"/>
            <w:tcBorders>
              <w:top w:val="nil"/>
              <w:left w:val="nil"/>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w:t>
            </w:r>
            <w:r>
              <w:rPr>
                <w:rFonts w:hint="eastAsia" w:eastAsia="宋体"/>
                <w:sz w:val="20"/>
                <w:szCs w:val="20"/>
                <w:lang w:val="en-US" w:eastAsia="zh-CN"/>
              </w:rPr>
              <w:t>11</w:t>
            </w:r>
            <w:r>
              <w:rPr>
                <w:rFonts w:hint="eastAsia" w:ascii="Times New Roman" w:hAnsi="Times New Roman" w:eastAsia="宋体"/>
                <w:sz w:val="20"/>
                <w:szCs w:val="20"/>
                <w:lang w:val="en-US" w:eastAsia="zh-CN"/>
              </w:rPr>
              <w:t>.2 -</w:t>
            </w:r>
            <w:r>
              <w:rPr>
                <w:rFonts w:hint="eastAsia" w:eastAsia="宋体"/>
                <w:sz w:val="20"/>
                <w:szCs w:val="20"/>
                <w:lang w:val="en-US" w:eastAsia="zh-CN"/>
              </w:rPr>
              <w:t xml:space="preserve"> W</w:t>
            </w:r>
          </w:p>
        </w:tc>
      </w:tr>
      <w:tr>
        <w:tblPrEx>
          <w:tblCellMar>
            <w:top w:w="0" w:type="dxa"/>
            <w:left w:w="0" w:type="dxa"/>
            <w:bottom w:w="0" w:type="dxa"/>
            <w:right w:w="0" w:type="dxa"/>
          </w:tblCellMar>
        </w:tblPrEx>
        <w:trPr>
          <w:trHeight w:val="90" w:hRule="atLeast"/>
        </w:trPr>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8</w:t>
            </w:r>
            <w:r>
              <w:rPr>
                <w:rFonts w:ascii="Times New Roman" w:hAnsi="Times New Roman" w:eastAsia="Yu Gothic"/>
                <w:sz w:val="20"/>
                <w:szCs w:val="20"/>
                <w:lang w:val="en-US" w:eastAsia="zh-CN"/>
              </w:rPr>
              <w:br w:type="textWrapping"/>
            </w:r>
            <w:r>
              <w:rPr>
                <w:rFonts w:ascii="Times New Roman" w:hAnsi="Times New Roman" w:eastAsia="Yu Gothic"/>
                <w:sz w:val="20"/>
                <w:szCs w:val="20"/>
                <w:lang w:val="en-US" w:eastAsia="zh-CN"/>
              </w:rPr>
              <w:t>Optional</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LEO-600</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Low-data rate service</w:t>
            </w:r>
          </w:p>
        </w:tc>
        <w:tc>
          <w:tcPr>
            <w:tcW w:w="1567" w:type="dxa"/>
            <w:vMerge w:val="continue"/>
            <w:tcBorders>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p>
        </w:tc>
        <w:tc>
          <w:tcPr>
            <w:tcW w:w="1626" w:type="dxa"/>
            <w:vMerge w:val="continue"/>
            <w:tcBorders>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ascii="Times New Roman" w:hAnsi="Times New Roman" w:eastAsia="Yu Gothic"/>
                <w:sz w:val="20"/>
                <w:szCs w:val="20"/>
                <w:lang w:val="en-US" w:eastAsia="ko-KR"/>
              </w:rPr>
            </w:pP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rPr>
              <w:t>9</w:t>
            </w:r>
            <w:r>
              <w:rPr>
                <w:rFonts w:ascii="Times New Roman" w:hAnsi="Times New Roman" w:eastAsia="Yu Gothic"/>
                <w:sz w:val="20"/>
                <w:szCs w:val="20"/>
                <w:lang w:val="en-US"/>
              </w:rPr>
              <w:br w:type="textWrapping"/>
            </w:r>
            <w:r>
              <w:rPr>
                <w:rFonts w:ascii="Times New Roman" w:hAnsi="Times New Roman" w:eastAsia="Yu Gothic"/>
                <w:sz w:val="20"/>
                <w:szCs w:val="20"/>
                <w:lang w:val="en-US"/>
              </w:rPr>
              <w:t>Optional</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rPr>
              <w:t>MEO</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1</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Low-data rate service</w:t>
            </w:r>
          </w:p>
        </w:tc>
        <w:tc>
          <w:tcPr>
            <w:tcW w:w="156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-11.5 -</w:t>
            </w:r>
            <w:r>
              <w:rPr>
                <w:rFonts w:hint="eastAsia" w:eastAsia="宋体" w:cs="Times New Roman"/>
                <w:sz w:val="20"/>
                <w:szCs w:val="20"/>
                <w:lang w:val="en-US" w:eastAsia="zh-CN"/>
              </w:rPr>
              <w:t xml:space="preserve"> W</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-1</w:t>
            </w:r>
            <w:r>
              <w:rPr>
                <w:rFonts w:hint="eastAsia" w:eastAsia="宋体" w:cs="Times New Roman"/>
                <w:sz w:val="20"/>
                <w:szCs w:val="20"/>
                <w:lang w:val="en-US" w:eastAsia="zh-CN"/>
              </w:rPr>
              <w:t>4</w:t>
            </w:r>
            <w:r>
              <w:rPr>
                <w:rFonts w:hint="eastAsia" w:ascii="Times New Roman" w:hAnsi="Times New Roman" w:eastAsia="宋体" w:cs="Times New Roman"/>
                <w:sz w:val="20"/>
                <w:szCs w:val="20"/>
                <w:lang w:val="en-US" w:eastAsia="zh-CN"/>
              </w:rPr>
              <w:t>.5 -</w:t>
            </w:r>
            <w:r>
              <w:rPr>
                <w:rFonts w:hint="eastAsia" w:eastAsia="宋体" w:cs="Times New Roman"/>
                <w:sz w:val="20"/>
                <w:szCs w:val="20"/>
                <w:lang w:val="en-US" w:eastAsia="zh-CN"/>
              </w:rPr>
              <w:t xml:space="preserve"> W</w:t>
            </w:r>
          </w:p>
        </w:tc>
      </w:tr>
      <w:tr>
        <w:tblPrEx>
          <w:tblCellMar>
            <w:top w:w="0" w:type="dxa"/>
            <w:left w:w="0" w:type="dxa"/>
            <w:bottom w:w="0" w:type="dxa"/>
            <w:right w:w="0" w:type="dxa"/>
          </w:tblCellMar>
        </w:tblPrEx>
        <w:tc>
          <w:tcPr>
            <w:tcW w:w="114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rPr>
              <w:t>10</w:t>
            </w:r>
            <w:r>
              <w:rPr>
                <w:rFonts w:ascii="Times New Roman" w:hAnsi="Times New Roman" w:eastAsia="Yu Gothic"/>
                <w:sz w:val="20"/>
                <w:szCs w:val="20"/>
                <w:lang w:val="en-US"/>
              </w:rPr>
              <w:br w:type="textWrapping"/>
            </w:r>
            <w:r>
              <w:rPr>
                <w:rFonts w:ascii="Times New Roman" w:hAnsi="Times New Roman" w:eastAsia="Yu Gothic"/>
                <w:sz w:val="20"/>
                <w:szCs w:val="20"/>
                <w:lang w:val="en-US"/>
              </w:rPr>
              <w:t>Optional</w:t>
            </w:r>
          </w:p>
        </w:tc>
        <w:tc>
          <w:tcPr>
            <w:tcW w:w="114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rPr>
              <w:t>MEO</w:t>
            </w:r>
          </w:p>
        </w:tc>
        <w:tc>
          <w:tcPr>
            <w:tcW w:w="127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2</w:t>
            </w:r>
          </w:p>
        </w:tc>
        <w:tc>
          <w:tcPr>
            <w:tcW w:w="121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sz w:val="20"/>
                <w:szCs w:val="20"/>
                <w:lang w:val="en-US" w:eastAsia="ko-KR"/>
              </w:rPr>
            </w:pPr>
            <w:r>
              <w:rPr>
                <w:rFonts w:ascii="Times New Roman" w:hAnsi="Times New Roman" w:eastAsia="Yu Gothic"/>
                <w:sz w:val="20"/>
                <w:szCs w:val="20"/>
                <w:lang w:val="en-US" w:eastAsia="zh-CN"/>
              </w:rPr>
              <w:t>30</w:t>
            </w:r>
          </w:p>
        </w:tc>
        <w:tc>
          <w:tcPr>
            <w:tcW w:w="132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overflowPunct w:val="0"/>
              <w:autoSpaceDE w:val="0"/>
              <w:autoSpaceDN w:val="0"/>
              <w:spacing w:after="180"/>
              <w:textAlignment w:val="baseline"/>
              <w:rPr>
                <w:rFonts w:ascii="Times New Roman" w:hAnsi="Times New Roman" w:eastAsia="Yu Gothic" w:cs="Times New Roman"/>
                <w:sz w:val="22"/>
                <w:szCs w:val="20"/>
                <w:lang w:val="en-US" w:eastAsia="ko-KR" w:bidi="ar-SA"/>
              </w:rPr>
            </w:pPr>
            <w:r>
              <w:rPr>
                <w:rFonts w:ascii="Times New Roman" w:hAnsi="Times New Roman" w:eastAsia="Yu Gothic"/>
                <w:szCs w:val="20"/>
                <w:lang w:val="en-US" w:eastAsia="zh-CN"/>
              </w:rPr>
              <w:t>Low-data rate service</w:t>
            </w:r>
          </w:p>
        </w:tc>
        <w:tc>
          <w:tcPr>
            <w:tcW w:w="156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-20.7 -</w:t>
            </w:r>
            <w:r>
              <w:rPr>
                <w:rFonts w:hint="eastAsia" w:eastAsia="宋体" w:cs="Times New Roman"/>
                <w:sz w:val="20"/>
                <w:szCs w:val="20"/>
                <w:lang w:val="en-US" w:eastAsia="zh-CN"/>
              </w:rPr>
              <w:t xml:space="preserve"> W</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overflowPunct w:val="0"/>
              <w:autoSpaceDE w:val="0"/>
              <w:autoSpaceDN w:val="0"/>
              <w:jc w:val="center"/>
              <w:textAlignment w:val="baseline"/>
              <w:rPr>
                <w:rFonts w:hint="eastAsia"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zh-CN"/>
              </w:rPr>
              <w:t>-2</w:t>
            </w:r>
            <w:r>
              <w:rPr>
                <w:rFonts w:hint="eastAsia" w:eastAsia="宋体" w:cs="Times New Roman"/>
                <w:sz w:val="20"/>
                <w:szCs w:val="20"/>
                <w:lang w:val="en-US" w:eastAsia="zh-CN"/>
              </w:rPr>
              <w:t>3</w:t>
            </w:r>
            <w:r>
              <w:rPr>
                <w:rFonts w:hint="eastAsia" w:ascii="Times New Roman" w:hAnsi="Times New Roman" w:eastAsia="宋体" w:cs="Times New Roman"/>
                <w:sz w:val="20"/>
                <w:szCs w:val="20"/>
                <w:lang w:val="en-US" w:eastAsia="zh-CN"/>
              </w:rPr>
              <w:t>.7 -</w:t>
            </w:r>
            <w:r>
              <w:rPr>
                <w:rFonts w:hint="eastAsia" w:eastAsia="宋体" w:cs="Times New Roman"/>
                <w:sz w:val="20"/>
                <w:szCs w:val="20"/>
                <w:lang w:val="en-US" w:eastAsia="zh-CN"/>
              </w:rPr>
              <w:t xml:space="preserve"> W</w:t>
            </w:r>
          </w:p>
        </w:tc>
      </w:tr>
    </w:tbl>
    <w:p>
      <w:pPr>
        <w:rPr>
          <w:lang w:eastAsia="zh-CN"/>
        </w:rPr>
      </w:pPr>
    </w:p>
    <w:p>
      <w:pPr>
        <w:rPr>
          <w:rFonts w:hint="eastAsia"/>
          <w:lang w:val="en-US" w:eastAsia="zh-CN"/>
        </w:rPr>
      </w:pPr>
      <w:r>
        <w:rPr>
          <w:rFonts w:hint="eastAsia"/>
          <w:lang w:val="en-US" w:eastAsia="zh-CN"/>
        </w:rPr>
        <w:t xml:space="preserve">Note 2:  </w:t>
      </w:r>
    </w:p>
    <w:p>
      <w:pPr>
        <w:rPr>
          <w:rFonts w:hint="eastAsia" w:eastAsia="宋体"/>
          <w:sz w:val="20"/>
          <w:szCs w:val="20"/>
          <w:lang w:val="en-US" w:eastAsia="zh-CN"/>
        </w:rPr>
      </w:pPr>
      <w:r>
        <w:rPr>
          <w:rFonts w:hint="eastAsia"/>
          <w:lang w:val="en-US" w:eastAsia="zh-CN"/>
        </w:rPr>
        <w:t xml:space="preserve">W = </w:t>
      </w:r>
      <w:r>
        <w:rPr>
          <w:rFonts w:hint="eastAsia" w:ascii="Times New Roman" w:hAnsi="Times New Roman" w:eastAsia="宋体"/>
          <w:sz w:val="20"/>
          <w:szCs w:val="20"/>
          <w:lang w:val="en-US" w:eastAsia="zh-CN"/>
        </w:rPr>
        <w:t>10*log10(NRB</w:t>
      </w:r>
      <w:r>
        <w:rPr>
          <w:rFonts w:hint="eastAsia" w:eastAsia="宋体"/>
          <w:sz w:val="20"/>
          <w:szCs w:val="20"/>
          <w:lang w:val="en-US" w:eastAsia="zh-CN"/>
        </w:rPr>
        <w:t>*SCS/15kHz</w:t>
      </w:r>
      <w:r>
        <w:rPr>
          <w:rFonts w:hint="eastAsia" w:ascii="Times New Roman" w:hAnsi="Times New Roman" w:eastAsia="宋体"/>
          <w:sz w:val="20"/>
          <w:szCs w:val="20"/>
          <w:lang w:val="en-US" w:eastAsia="zh-CN"/>
        </w:rPr>
        <w:t>)</w:t>
      </w:r>
      <w:r>
        <w:rPr>
          <w:rFonts w:hint="eastAsia" w:eastAsia="宋体"/>
          <w:sz w:val="20"/>
          <w:szCs w:val="20"/>
          <w:lang w:val="en-US" w:eastAsia="zh-CN"/>
        </w:rPr>
        <w:t xml:space="preserve">. </w:t>
      </w:r>
    </w:p>
    <w:p>
      <w:pPr>
        <w:rPr>
          <w:rFonts w:hint="eastAsia" w:eastAsia="宋体"/>
          <w:sz w:val="20"/>
          <w:szCs w:val="20"/>
          <w:lang w:val="en-US" w:eastAsia="zh-CN"/>
        </w:rPr>
      </w:pPr>
      <w:r>
        <w:rPr>
          <w:rFonts w:hint="eastAsia" w:eastAsia="宋体"/>
          <w:sz w:val="20"/>
          <w:szCs w:val="20"/>
          <w:lang w:val="en-US" w:eastAsia="zh-CN"/>
        </w:rPr>
        <w:t xml:space="preserve">Or equivalently, W = 7.45 + 10*log10(ChannelBandwidth/1MHz) </w:t>
      </w:r>
    </w:p>
    <w:p>
      <w:pPr>
        <w:rPr>
          <w:rFonts w:hint="eastAsia"/>
          <w:lang w:val="en-US" w:eastAsia="zh-CN"/>
        </w:rPr>
      </w:pPr>
    </w:p>
    <w:p>
      <w:pPr>
        <w:rPr>
          <w:rFonts w:hint="default"/>
          <w:lang w:val="en-US" w:eastAsia="zh-CN"/>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NTN link budget, GEO / satellite parameter set-2 are more severe scenarios comparing with LEO / satellite parameter set-1.</w:t>
      </w:r>
    </w:p>
    <w:p>
      <w:pPr>
        <w:rPr>
          <w:rFonts w:hint="eastAsia"/>
          <w:i/>
          <w:color w:val="000000" w:themeColor="text1"/>
          <w:lang w:val="en-US"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2</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 xml:space="preserve">Among all the 10 cases for evaluation, case2 (GEO/Set2) and case10 (MEO/Set2) have the lowest link budget CNR, case6 (LEO-600/Set1) and case3 (LEO-1200/Set1) have the highest link budget CNR. </w:t>
      </w:r>
    </w:p>
    <w:p>
      <w:pPr>
        <w:rPr>
          <w:rFonts w:hint="eastAsia"/>
          <w:lang w:val="en-US" w:eastAsia="zh-CN"/>
        </w:rPr>
      </w:pPr>
    </w:p>
    <w:p>
      <w:pPr>
        <w:rPr>
          <w:rFonts w:hint="default"/>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3</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downlink, the link budget does not depend on channel bandwidth, since satellite EIRP density, not EIRP is limited. For the non-optional cases, CNRs are in the range of [-13.3, -6.8]dB at the beam center or [-16.3, -9.8]dB at the beam edge.</w:t>
      </w:r>
    </w:p>
    <w:p>
      <w:pPr>
        <w:rPr>
          <w:rFonts w:hint="eastAsia"/>
          <w:i/>
          <w:color w:val="000000" w:themeColor="text1"/>
          <w:lang w:val="en-US"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4</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uplink, the link budget depends on channel bandwidth, since UE transmit power, not power density is limited. The larger the channel bandwidth is, the lower the uplink budget is. For channel bandwidth of 1PRB, and for the non-optional cases, CNRs are in the range of [-20.8, -13.6]dB at the beam center or [-23.8, -16.6]dB at the beam edge. For channel bandwidth of 8PRB, for example, the CNR range decreases 9dB from the ranges for 1PRB.</w:t>
      </w:r>
    </w:p>
    <w:p>
      <w:pPr>
        <w:rPr>
          <w:rFonts w:hint="eastAsia"/>
          <w:i/>
          <w:color w:val="000000" w:themeColor="text1"/>
          <w:lang w:val="en-US" w:eastAsia="zh-CN"/>
          <w14:textFill>
            <w14:solidFill>
              <w14:schemeClr w14:val="tx1"/>
            </w14:solidFill>
          </w14:textFill>
        </w:rPr>
      </w:pPr>
    </w:p>
    <w:p>
      <w:pPr>
        <w:rPr>
          <w:rFonts w:hint="default"/>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5</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 xml:space="preserve">For NR NTN, the link budgets of uplink and downlink are quite unbalanced. The uplink coverage enhancement would be more challenging than downlink. </w:t>
      </w:r>
    </w:p>
    <w:p>
      <w:pPr>
        <w:rPr>
          <w:rFonts w:hint="eastAsia"/>
          <w:lang w:val="en-US" w:eastAsia="zh-CN"/>
        </w:rPr>
      </w:pPr>
    </w:p>
    <w:p>
      <w:pPr>
        <w:pStyle w:val="2"/>
        <w:numPr>
          <w:ilvl w:val="0"/>
          <w:numId w:val="0"/>
        </w:numPr>
        <w:tabs>
          <w:tab w:val="left" w:pos="432"/>
        </w:tabs>
        <w:ind w:leftChars="0"/>
        <w:outlineLvl w:val="0"/>
        <w:rPr>
          <w:rFonts w:eastAsiaTheme="minorEastAsia"/>
          <w:sz w:val="28"/>
          <w:lang w:eastAsia="zh-CN"/>
        </w:rPr>
      </w:pPr>
      <w:r>
        <w:rPr>
          <w:rFonts w:hint="eastAsia" w:eastAsiaTheme="minorEastAsia"/>
          <w:sz w:val="32"/>
          <w:lang w:val="en-US" w:eastAsia="zh-CN"/>
        </w:rPr>
        <w:t xml:space="preserve">3. </w:t>
      </w:r>
      <w:r>
        <w:rPr>
          <w:rFonts w:eastAsiaTheme="minorEastAsia"/>
          <w:sz w:val="32"/>
          <w:lang w:eastAsia="zh-CN"/>
        </w:rPr>
        <w:t xml:space="preserve">Link </w:t>
      </w:r>
      <w:r>
        <w:rPr>
          <w:rFonts w:hint="eastAsia" w:eastAsiaTheme="minorEastAsia"/>
          <w:sz w:val="32"/>
          <w:lang w:val="en-US" w:eastAsia="zh-CN"/>
        </w:rPr>
        <w:t>Level Simulation</w:t>
      </w:r>
    </w:p>
    <w:p>
      <w:pPr>
        <w:rPr>
          <w:lang w:eastAsia="zh-CN"/>
        </w:rPr>
      </w:pPr>
      <w:r>
        <w:rPr>
          <w:lang w:eastAsia="zh-CN"/>
        </w:rPr>
        <w:br w:type="page"/>
      </w:r>
    </w:p>
    <w:p>
      <w:pPr>
        <w:pStyle w:val="3"/>
        <w:numPr>
          <w:ilvl w:val="0"/>
          <w:numId w:val="0"/>
        </w:numPr>
        <w:tabs>
          <w:tab w:val="left" w:pos="576"/>
        </w:tabs>
        <w:ind w:leftChars="0"/>
        <w:rPr>
          <w:rFonts w:hint="eastAsia" w:eastAsiaTheme="minorEastAsia"/>
          <w:sz w:val="28"/>
          <w:lang w:val="en-US" w:eastAsia="zh-CN"/>
        </w:rPr>
      </w:pPr>
      <w:r>
        <w:rPr>
          <w:rFonts w:hint="eastAsia" w:eastAsiaTheme="minorEastAsia"/>
          <w:sz w:val="28"/>
          <w:lang w:val="en-US" w:eastAsia="zh-CN"/>
        </w:rPr>
        <w:t>3.1 Downlink</w:t>
      </w:r>
    </w:p>
    <w:p>
      <w:pPr>
        <w:rPr>
          <w:rFonts w:hint="default"/>
          <w:lang w:val="en-US" w:eastAsia="zh-CN"/>
        </w:rPr>
      </w:pPr>
    </w:p>
    <w:p>
      <w:pPr>
        <w:rPr>
          <w:rFonts w:hint="eastAsia"/>
          <w:lang w:val="en-US" w:eastAsia="zh-CN"/>
        </w:rPr>
      </w:pPr>
      <w:r>
        <w:rPr>
          <w:rFonts w:hint="eastAsia"/>
          <w:lang w:val="en-US" w:eastAsia="zh-CN"/>
        </w:rPr>
        <w:t xml:space="preserve">For downlink, VoIP, 20 repetitions, 2PRB, rural LOS scenario, 2%BLER, our simulation result shows that the required SNR is -9.0dB. The link budget margin is listed in table 5.  </w:t>
      </w:r>
    </w:p>
    <w:p>
      <w:pPr>
        <w:rPr>
          <w:rFonts w:hint="eastAsia"/>
          <w:lang w:val="en-US" w:eastAsia="zh-CN"/>
        </w:rPr>
      </w:pPr>
    </w:p>
    <w:p>
      <w:pPr>
        <w:pStyle w:val="11"/>
        <w:rPr>
          <w:rFonts w:hint="default"/>
          <w:lang w:val="en-US" w:eastAsia="zh-CN"/>
        </w:rPr>
      </w:pPr>
      <w:r>
        <w:rPr>
          <w:rFonts w:hint="eastAsia" w:eastAsia="Yu Gothic"/>
          <w:szCs w:val="20"/>
          <w:lang w:val="en-US" w:eastAsia="zh-CN"/>
        </w:rPr>
        <w:t xml:space="preserve"> </w:t>
      </w:r>
      <w:r>
        <w:t xml:space="preserve">Table </w:t>
      </w:r>
      <w:r>
        <w:rPr>
          <w:rFonts w:hint="eastAsia"/>
          <w:lang w:val="en-US" w:eastAsia="zh-CN"/>
        </w:rPr>
        <w:t>5. Required SNR and link budget margin for downlink VoIP</w:t>
      </w:r>
    </w:p>
    <w:tbl>
      <w:tblPr>
        <w:tblStyle w:val="21"/>
        <w:tblW w:w="83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4"/>
        <w:gridCol w:w="1104"/>
        <w:gridCol w:w="1029"/>
        <w:gridCol w:w="983"/>
        <w:gridCol w:w="1201"/>
        <w:gridCol w:w="918"/>
        <w:gridCol w:w="950"/>
        <w:gridCol w:w="9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jc w:val="center"/>
        </w:trPr>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Case</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Satellite orbit</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Satellite parameter set</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 angle (deg)</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Service type</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DL CNR (dB) at beam edge</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Required SNR (dB)</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Link budget margin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 (Optional)</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LEO-1200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VoIP</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95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LEO-1200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VoIP</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w:t>
            </w:r>
          </w:p>
        </w:tc>
        <w:tc>
          <w:tcPr>
            <w:tcW w:w="95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 (Optional)</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LEO-600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VoIP</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95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LEO-600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VoIP</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95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r>
    </w:tbl>
    <w:p>
      <w:pPr>
        <w:rPr>
          <w:color w:val="000000" w:themeColor="text1"/>
          <w:lang w:val="en-US" w:eastAsia="zh-CN"/>
          <w14:textFill>
            <w14:solidFill>
              <w14:schemeClr w14:val="tx1"/>
            </w14:solidFill>
          </w14:textFill>
        </w:rPr>
      </w:pPr>
    </w:p>
    <w:p>
      <w:pPr>
        <w:rPr>
          <w:color w:val="000000" w:themeColor="text1"/>
          <w:lang w:val="en-US" w:eastAsia="zh-CN"/>
          <w14:textFill>
            <w14:solidFill>
              <w14:schemeClr w14:val="tx1"/>
            </w14:solidFill>
          </w14:textFill>
        </w:rPr>
      </w:pPr>
    </w:p>
    <w:p>
      <w:pPr>
        <w:rPr>
          <w:rFonts w:hint="default"/>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6</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downlink, VoIP, 20 repetitions, 3PRB, rural LOS scenario, 2%BLER, the required SNR is -9.0 dB. The link budget margin is in the range of  [-1.4, 5.2]dB.</w:t>
      </w:r>
    </w:p>
    <w:p/>
    <w:p>
      <w:pPr>
        <w:rPr>
          <w:rFonts w:hint="eastAsia"/>
          <w:lang w:val="en-US" w:eastAsia="zh-CN"/>
        </w:rPr>
      </w:pPr>
      <w:r>
        <w:rPr>
          <w:rFonts w:hint="eastAsia"/>
          <w:lang w:val="en-US" w:eastAsia="zh-CN"/>
        </w:rPr>
        <w:t xml:space="preserve">For downlink, 3kbps low data rate service, 32 repetitions, coding rate = 0.25, rural LOS scenario, 10%BLER, our simulation result is that the required SNR is -13.0dB. The link budget margin is listed in table 6.  </w:t>
      </w:r>
    </w:p>
    <w:p>
      <w:pPr>
        <w:rPr>
          <w:rFonts w:hint="eastAsia"/>
          <w:lang w:val="en-US" w:eastAsia="zh-CN"/>
        </w:rPr>
      </w:pPr>
    </w:p>
    <w:p>
      <w:pPr>
        <w:pStyle w:val="11"/>
        <w:rPr>
          <w:rFonts w:hint="default"/>
          <w:lang w:val="en-US" w:eastAsia="zh-CN"/>
        </w:rPr>
      </w:pPr>
      <w:r>
        <w:rPr>
          <w:rFonts w:hint="eastAsia" w:eastAsia="Yu Gothic"/>
          <w:szCs w:val="20"/>
          <w:lang w:val="en-US" w:eastAsia="zh-CN"/>
        </w:rPr>
        <w:t xml:space="preserve"> </w:t>
      </w:r>
      <w:r>
        <w:t xml:space="preserve">Table </w:t>
      </w:r>
      <w:r>
        <w:rPr>
          <w:rFonts w:hint="eastAsia"/>
          <w:lang w:val="en-US" w:eastAsia="zh-CN"/>
        </w:rPr>
        <w:t xml:space="preserve">6. Required SNR and link budget margin for downlink 3kbps low data rate service </w:t>
      </w:r>
    </w:p>
    <w:p/>
    <w:tbl>
      <w:tblPr>
        <w:tblStyle w:val="21"/>
        <w:tblW w:w="86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00"/>
        <w:gridCol w:w="1095"/>
        <w:gridCol w:w="1028"/>
        <w:gridCol w:w="983"/>
        <w:gridCol w:w="1466"/>
        <w:gridCol w:w="907"/>
        <w:gridCol w:w="950"/>
        <w:gridCol w:w="9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jc w:val="center"/>
        </w:trPr>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Case</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Satellite orbit</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Satellite parameter set</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 angle (deg)</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Service type</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DL CNR (dB) at beam edge</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Required SNR (dB)</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Link budget margin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GEO</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rPr>
            </w:pPr>
            <w:r>
              <w:rPr>
                <w:rFonts w:hint="eastAsia" w:ascii="Times New Roman" w:hAnsi="Times New Roman" w:eastAsia="宋体" w:cs="Times New Roman"/>
                <w:i w:val="0"/>
                <w:iCs w:val="0"/>
                <w:color w:val="000000"/>
                <w:kern w:val="0"/>
                <w:sz w:val="20"/>
                <w:szCs w:val="20"/>
                <w:u w:val="none"/>
                <w:lang w:val="en-US" w:eastAsia="zh-CN" w:bidi="ar"/>
              </w:rPr>
              <w:t>3kbps</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 </w:t>
            </w: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-13.0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GEO</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3kbps</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-16.3 </w:t>
            </w: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LEO-1200</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3kbps</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-9.8 </w:t>
            </w: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 (Optional)</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LEO-600</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3kbps</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-10.4 </w:t>
            </w: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 (Optional)</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MEO</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3kbps</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-8.6 </w:t>
            </w: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 (Optional)</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MEO</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3kbps</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-14.2 </w:t>
            </w: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 </w:t>
            </w:r>
          </w:p>
        </w:tc>
      </w:tr>
    </w:tbl>
    <w:p>
      <w:pPr>
        <w:rPr>
          <w:i/>
          <w:color w:val="000000" w:themeColor="text1"/>
          <w14:textFill>
            <w14:solidFill>
              <w14:schemeClr w14:val="tx1"/>
            </w14:solidFill>
          </w14:textFill>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7</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downlink, low data rate service, 3kbps, 32 repetitions, coding rate = 0.25, rural LOS scenario, 10%BLER, our simulation result is that the required SNR is -13.0dB. The link budget margin is</w:t>
      </w:r>
    </w:p>
    <w:p>
      <w:pPr>
        <w:rPr>
          <w:rFonts w:hint="default"/>
          <w:i/>
          <w:color w:val="000000" w:themeColor="text1"/>
          <w:lang w:val="en-US" w:eastAsia="zh-CN"/>
          <w14:textFill>
            <w14:solidFill>
              <w14:schemeClr w14:val="tx1"/>
            </w14:solidFill>
          </w14:textFill>
        </w:rPr>
      </w:pPr>
      <w:r>
        <w:rPr>
          <w:rFonts w:hint="eastAsia"/>
          <w:i/>
          <w:color w:val="000000" w:themeColor="text1"/>
          <w:lang w:val="en-US" w:eastAsia="zh-CN"/>
          <w14:textFill>
            <w14:solidFill>
              <w14:schemeClr w14:val="tx1"/>
            </w14:solidFill>
          </w14:textFill>
        </w:rPr>
        <w:t xml:space="preserve"> in the range of  [-3.3, 4.2]dB. For example, for case 2 (GEO, set2), link budget margin is negative (-3.3dB).</w:t>
      </w:r>
    </w:p>
    <w:p>
      <w:pPr>
        <w:rPr>
          <w:rFonts w:hint="eastAsia" w:eastAsiaTheme="minorEastAsia"/>
          <w:i/>
          <w:color w:val="000000" w:themeColor="text1"/>
          <w:lang w:val="en-US" w:eastAsia="zh-CN"/>
          <w14:textFill>
            <w14:solidFill>
              <w14:schemeClr w14:val="tx1"/>
            </w14:solidFill>
          </w14:textFill>
        </w:rPr>
      </w:pPr>
    </w:p>
    <w:p>
      <w:pPr>
        <w:rPr>
          <w:rFonts w:hint="eastAsia"/>
          <w:lang w:val="en-US" w:eastAsia="zh-CN"/>
        </w:rPr>
      </w:pPr>
      <w:r>
        <w:rPr>
          <w:rFonts w:hint="eastAsia"/>
          <w:lang w:val="en-US" w:eastAsia="zh-CN"/>
        </w:rPr>
        <w:t xml:space="preserve">For downlink, 1Mbps low data rate service, 8 repetitions, coding rate = 0.17, rural LOS scenario, 10%BLER, our simulation result is that the required SNR is -11.0dB. The link budget margin is listed in table 7.  </w:t>
      </w:r>
    </w:p>
    <w:p>
      <w:pPr>
        <w:rPr>
          <w:rFonts w:hint="eastAsia"/>
          <w:lang w:val="en-US" w:eastAsia="zh-CN"/>
        </w:rPr>
      </w:pPr>
    </w:p>
    <w:p>
      <w:pPr>
        <w:pStyle w:val="11"/>
        <w:rPr>
          <w:rFonts w:hint="default"/>
          <w:lang w:val="en-US" w:eastAsia="zh-CN"/>
        </w:rPr>
      </w:pPr>
      <w:r>
        <w:rPr>
          <w:rFonts w:hint="eastAsia" w:eastAsia="Yu Gothic"/>
          <w:szCs w:val="20"/>
          <w:lang w:val="en-US" w:eastAsia="zh-CN"/>
        </w:rPr>
        <w:t xml:space="preserve"> </w:t>
      </w:r>
      <w:r>
        <w:t xml:space="preserve">Table </w:t>
      </w:r>
      <w:r>
        <w:rPr>
          <w:rFonts w:hint="eastAsia"/>
          <w:lang w:val="en-US" w:eastAsia="zh-CN"/>
        </w:rPr>
        <w:t>7. Required SNR and link budget margin for downlink 1Mbps low data rate service</w:t>
      </w:r>
    </w:p>
    <w:tbl>
      <w:tblPr>
        <w:tblStyle w:val="21"/>
        <w:tblW w:w="86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00"/>
        <w:gridCol w:w="1095"/>
        <w:gridCol w:w="1028"/>
        <w:gridCol w:w="983"/>
        <w:gridCol w:w="1466"/>
        <w:gridCol w:w="907"/>
        <w:gridCol w:w="950"/>
        <w:gridCol w:w="9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jc w:val="center"/>
        </w:trPr>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Case</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Satellite orbit</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Satellite parameter set</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 angle (deg)</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Service type</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DL CNR (dB) at beam edge</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Required SNR (dB)</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Link budget margin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GEO</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rPr>
            </w:pPr>
            <w:r>
              <w:rPr>
                <w:rFonts w:hint="eastAsia" w:ascii="Times New Roman" w:hAnsi="Times New Roman" w:eastAsia="宋体" w:cs="Times New Roman"/>
                <w:i w:val="0"/>
                <w:iCs w:val="0"/>
                <w:color w:val="000000"/>
                <w:sz w:val="20"/>
                <w:szCs w:val="20"/>
                <w:u w:val="none"/>
                <w:lang w:val="en-US" w:eastAsia="zh-CN"/>
              </w:rPr>
              <w:t>1Mbps</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 </w:t>
            </w: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Times New Roman" w:hAnsi="Times New Roman" w:eastAsia="宋体" w:cs="Times New Roman"/>
                <w:i w:val="0"/>
                <w:iCs w:val="0"/>
                <w:color w:val="000000"/>
                <w:kern w:val="0"/>
                <w:sz w:val="20"/>
                <w:szCs w:val="20"/>
                <w:u w:val="none"/>
                <w:lang w:val="en-US" w:eastAsia="zh-CN" w:bidi="ar"/>
              </w:rPr>
              <w:t>11</w:t>
            </w:r>
            <w:r>
              <w:rPr>
                <w:rFonts w:hint="default" w:ascii="Times New Roman" w:hAnsi="Times New Roman" w:eastAsia="宋体" w:cs="Times New Roman"/>
                <w:i w:val="0"/>
                <w:iCs w:val="0"/>
                <w:color w:val="000000"/>
                <w:kern w:val="0"/>
                <w:sz w:val="20"/>
                <w:szCs w:val="20"/>
                <w:u w:val="none"/>
                <w:lang w:val="en-US" w:eastAsia="zh-CN" w:bidi="ar"/>
              </w:rPr>
              <w:t xml:space="preserve">.0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GEO</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sz w:val="20"/>
                <w:szCs w:val="20"/>
                <w:u w:val="none"/>
                <w:lang w:val="en-US" w:eastAsia="zh-CN"/>
              </w:rPr>
              <w:t>1Mbps</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-16.3 </w:t>
            </w: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LEO-1200</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sz w:val="20"/>
                <w:szCs w:val="20"/>
                <w:u w:val="none"/>
                <w:lang w:val="en-US" w:eastAsia="zh-CN"/>
              </w:rPr>
              <w:t>1Mbps</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-9.8 </w:t>
            </w: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 (Optional)</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LEO-600</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sz w:val="20"/>
                <w:szCs w:val="20"/>
                <w:u w:val="none"/>
                <w:lang w:val="en-US" w:eastAsia="zh-CN"/>
              </w:rPr>
              <w:t>1Mbps</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-10.4 </w:t>
            </w: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 (Optional)</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MEO</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sz w:val="20"/>
                <w:szCs w:val="20"/>
                <w:u w:val="none"/>
                <w:lang w:val="en-US" w:eastAsia="zh-CN"/>
              </w:rPr>
              <w:t>1Mbps</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-8.6 </w:t>
            </w: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 (Optional)</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MEO</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sz w:val="20"/>
                <w:szCs w:val="20"/>
                <w:u w:val="none"/>
                <w:lang w:val="en-US" w:eastAsia="zh-CN"/>
              </w:rPr>
              <w:t>1Mbps</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-14.2 </w:t>
            </w: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-3.2 </w:t>
            </w:r>
          </w:p>
        </w:tc>
      </w:tr>
    </w:tbl>
    <w:p>
      <w:pPr>
        <w:rPr>
          <w:rFonts w:hint="eastAsia" w:eastAsiaTheme="minorEastAsia"/>
          <w:i/>
          <w:color w:val="000000" w:themeColor="text1"/>
          <w:lang w:val="en-US" w:eastAsia="zh-CN"/>
          <w14:textFill>
            <w14:solidFill>
              <w14:schemeClr w14:val="tx1"/>
            </w14:solidFill>
          </w14:textFill>
        </w:rPr>
      </w:pPr>
    </w:p>
    <w:p>
      <w:pPr>
        <w:rPr>
          <w:rFonts w:hint="default"/>
          <w:lang w:val="en-US" w:eastAsia="zh-CN"/>
        </w:rPr>
      </w:pPr>
      <w:r>
        <w:rPr>
          <w:rFonts w:hint="eastAsia"/>
          <w:lang w:val="en-US" w:eastAsia="zh-CN"/>
        </w:rPr>
        <w:t>As we know, increasing repetition number or decrease coding rate can improve coverage. But this will require more PRBs. For example, for the case of 1Mbps data service, using 32 repetition and coding rate of 0.17 requires about 800 PRBs, which is actually not feasible.</w:t>
      </w:r>
    </w:p>
    <w:p>
      <w:pPr>
        <w:rPr>
          <w:rFonts w:hint="default"/>
          <w:lang w:val="en-US" w:eastAsia="zh-CN"/>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8</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downlink, low data rate service, 1Mbps, 8 repetitions, coding rate = 0.17, rural LOS scenario, 10%BLER, our simulation result is that the required SNR is -11.0dB. The link budget margin is</w:t>
      </w:r>
    </w:p>
    <w:p>
      <w:pPr>
        <w:jc w:val="both"/>
        <w:rPr>
          <w:rFonts w:hint="default"/>
          <w:i/>
          <w:color w:val="000000" w:themeColor="text1"/>
          <w:lang w:val="en-US" w:eastAsia="zh-CN"/>
          <w14:textFill>
            <w14:solidFill>
              <w14:schemeClr w14:val="tx1"/>
            </w14:solidFill>
          </w14:textFill>
        </w:rPr>
      </w:pPr>
      <w:r>
        <w:rPr>
          <w:rFonts w:hint="eastAsia"/>
          <w:i/>
          <w:color w:val="000000" w:themeColor="text1"/>
          <w:lang w:val="en-US" w:eastAsia="zh-CN"/>
          <w14:textFill>
            <w14:solidFill>
              <w14:schemeClr w14:val="tx1"/>
            </w14:solidFill>
          </w14:textFill>
        </w:rPr>
        <w:t xml:space="preserve"> in the range of  [-5.3, 2.4]dB. For example, for case 2 (GEO, set2), link budget margin is -5.3dB.</w:t>
      </w:r>
    </w:p>
    <w:p>
      <w:pPr>
        <w:rPr>
          <w:i/>
          <w:color w:val="000000" w:themeColor="text1"/>
          <w:lang w:eastAsia="zh-CN"/>
          <w14:textFill>
            <w14:solidFill>
              <w14:schemeClr w14:val="tx1"/>
            </w14:solidFill>
          </w14:textFill>
        </w:rPr>
      </w:pPr>
    </w:p>
    <w:p>
      <w:pPr>
        <w:rPr>
          <w:rFonts w:hint="default"/>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9</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Repetition may not be fully utilized due to actual considerations on data rate, coding rate, channel bandwidth.</w:t>
      </w:r>
    </w:p>
    <w:p>
      <w:pPr>
        <w:rPr>
          <w:i/>
          <w:color w:val="000000" w:themeColor="text1"/>
          <w:lang w:eastAsia="zh-CN"/>
          <w14:textFill>
            <w14:solidFill>
              <w14:schemeClr w14:val="tx1"/>
            </w14:solidFill>
          </w14:textFill>
        </w:rPr>
      </w:pPr>
    </w:p>
    <w:p>
      <w:pPr>
        <w:rPr>
          <w:rFonts w:hint="default" w:eastAsiaTheme="minorEastAsia"/>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1</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NTN downlink, GEO coverage needs enhancement.</w:t>
      </w:r>
    </w:p>
    <w:p>
      <w:pPr>
        <w:rPr>
          <w:i/>
          <w:color w:val="000000" w:themeColor="text1"/>
          <w:lang w:eastAsia="zh-CN"/>
          <w14:textFill>
            <w14:solidFill>
              <w14:schemeClr w14:val="tx1"/>
            </w14:solidFill>
          </w14:textFill>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3.1 Uplink</w:t>
      </w:r>
    </w:p>
    <w:p>
      <w:pPr>
        <w:rPr>
          <w:i/>
          <w:color w:val="000000" w:themeColor="text1"/>
          <w:lang w:eastAsia="zh-CN"/>
          <w14:textFill>
            <w14:solidFill>
              <w14:schemeClr w14:val="tx1"/>
            </w14:solidFill>
          </w14:textFill>
        </w:rPr>
      </w:pPr>
    </w:p>
    <w:p>
      <w:pPr>
        <w:rPr>
          <w:rFonts w:hint="eastAsia" w:eastAsiaTheme="minorEastAsia"/>
          <w:lang w:val="en-US" w:eastAsia="zh-CN"/>
        </w:rPr>
      </w:pPr>
      <w:r>
        <w:rPr>
          <w:rFonts w:hint="eastAsia"/>
          <w:lang w:val="en-US" w:eastAsia="zh-CN"/>
        </w:rPr>
        <w:t xml:space="preserve">For uplink, VoIP, 20 repetitions, 2PRB, rural LOS scenario, 2%BLER, our simulation result is that the required SNR is -8.3dB. The link budget margin is listed in table 8. </w:t>
      </w:r>
    </w:p>
    <w:p>
      <w:pPr>
        <w:rPr>
          <w:rFonts w:hint="eastAsia"/>
          <w:lang w:val="en-US" w:eastAsia="zh-CN"/>
        </w:rPr>
      </w:pPr>
    </w:p>
    <w:p>
      <w:pPr>
        <w:pStyle w:val="11"/>
        <w:rPr>
          <w:rFonts w:hint="default"/>
          <w:lang w:val="en-US" w:eastAsia="zh-CN"/>
        </w:rPr>
      </w:pPr>
      <w:r>
        <w:rPr>
          <w:rFonts w:hint="eastAsia" w:eastAsia="Yu Gothic"/>
          <w:szCs w:val="20"/>
          <w:lang w:val="en-US" w:eastAsia="zh-CN"/>
        </w:rPr>
        <w:t xml:space="preserve"> </w:t>
      </w:r>
      <w:r>
        <w:t xml:space="preserve">Table </w:t>
      </w:r>
      <w:r>
        <w:rPr>
          <w:rFonts w:hint="eastAsia"/>
          <w:lang w:val="en-US" w:eastAsia="zh-CN"/>
        </w:rPr>
        <w:t>8. Required SNR and link budget margin for uplink VoIP</w:t>
      </w:r>
    </w:p>
    <w:tbl>
      <w:tblPr>
        <w:tblStyle w:val="21"/>
        <w:tblW w:w="83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4"/>
        <w:gridCol w:w="1051"/>
        <w:gridCol w:w="1026"/>
        <w:gridCol w:w="983"/>
        <w:gridCol w:w="1113"/>
        <w:gridCol w:w="1095"/>
        <w:gridCol w:w="950"/>
        <w:gridCol w:w="8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jc w:val="center"/>
        </w:trPr>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Case</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Satellite orbit</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Satellite parameter set</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 angle (deg)</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Service type</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UL CNR (dB) </w:t>
            </w:r>
            <w:r>
              <w:rPr>
                <w:rStyle w:val="68"/>
                <w:lang w:val="en-US" w:eastAsia="zh-CN" w:bidi="ar"/>
              </w:rPr>
              <w:t>（</w:t>
            </w:r>
            <w:r>
              <w:rPr>
                <w:rStyle w:val="69"/>
                <w:rFonts w:eastAsia="宋体"/>
                <w:lang w:val="en-US" w:eastAsia="zh-CN" w:bidi="ar"/>
              </w:rPr>
              <w:t>2PRB</w:t>
            </w:r>
            <w:r>
              <w:rPr>
                <w:rStyle w:val="68"/>
                <w:lang w:val="en-US" w:eastAsia="zh-CN" w:bidi="ar"/>
              </w:rPr>
              <w:t>）</w:t>
            </w:r>
            <w:r>
              <w:rPr>
                <w:rStyle w:val="69"/>
                <w:rFonts w:eastAsia="宋体"/>
                <w:lang w:val="en-US" w:eastAsia="zh-CN" w:bidi="ar"/>
              </w:rPr>
              <w:t>at beam edge</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Required SNR (dB)</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Link budget margin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 (Optional)</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LEO-1200</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VoIP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-13.6 </w:t>
            </w: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-8.3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LEO-1200</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VoIP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-19.6 </w:t>
            </w: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 (Optional)</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LEO-600</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VoIP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-8.2 </w:t>
            </w: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LEO-600</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VoIP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-14.2 </w:t>
            </w: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r>
    </w:tbl>
    <w:p>
      <w:pPr>
        <w:rPr>
          <w:color w:val="000000" w:themeColor="text1"/>
          <w:lang w:val="en-US" w:eastAsia="zh-CN"/>
          <w14:textFill>
            <w14:solidFill>
              <w14:schemeClr w14:val="tx1"/>
            </w14:solidFill>
          </w14:textFill>
        </w:rPr>
      </w:pPr>
    </w:p>
    <w:p>
      <w:pPr>
        <w:rPr>
          <w:rFonts w:hint="default"/>
          <w:color w:val="000000" w:themeColor="text1"/>
          <w:lang w:val="en-US" w:eastAsia="zh-CN"/>
          <w14:textFill>
            <w14:solidFill>
              <w14:schemeClr w14:val="tx1"/>
            </w14:solidFill>
          </w14:textFill>
        </w:rPr>
      </w:pPr>
    </w:p>
    <w:p>
      <w:pPr>
        <w:rPr>
          <w:rFonts w:hint="default"/>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10</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uplink, VoIP, 20 repetitions, without packet combining, 2PRB, rural LOS scenario, 2%BLER, the required SNR is -8.3 dB. The link budget margin is in the range of  [-11.3, 0.1]dB.</w:t>
      </w:r>
    </w:p>
    <w:p>
      <w:pPr>
        <w:rPr>
          <w:i/>
          <w:color w:val="000000" w:themeColor="text1"/>
          <w:lang w:eastAsia="zh-CN"/>
          <w14:textFill>
            <w14:solidFill>
              <w14:schemeClr w14:val="tx1"/>
            </w14:solidFill>
          </w14:textFill>
        </w:rPr>
      </w:pPr>
    </w:p>
    <w:p>
      <w:pPr>
        <w:rPr>
          <w:rFonts w:hint="eastAsia"/>
          <w:lang w:val="en-US" w:eastAsia="zh-CN"/>
        </w:rPr>
      </w:pPr>
      <w:r>
        <w:rPr>
          <w:rFonts w:hint="eastAsia"/>
          <w:lang w:val="en-US" w:eastAsia="zh-CN"/>
        </w:rPr>
        <w:t xml:space="preserve">For uplink, 3kbps low data rate service, 32 repetitions, 2PRB, coding rate = 0.15, rural LOS scenario, 10%BLER, our simulation result is that the required SNR is -12.3dB. The link budget margin is listed in table 9.  </w:t>
      </w:r>
    </w:p>
    <w:p>
      <w:pPr>
        <w:rPr>
          <w:rFonts w:hint="eastAsia"/>
          <w:lang w:val="en-US" w:eastAsia="zh-CN"/>
        </w:rPr>
      </w:pPr>
    </w:p>
    <w:p>
      <w:pPr>
        <w:pStyle w:val="11"/>
      </w:pPr>
      <w:r>
        <w:rPr>
          <w:rFonts w:hint="eastAsia" w:eastAsia="Yu Gothic"/>
          <w:szCs w:val="20"/>
          <w:lang w:val="en-US" w:eastAsia="zh-CN"/>
        </w:rPr>
        <w:t xml:space="preserve"> </w:t>
      </w:r>
      <w:r>
        <w:t xml:space="preserve">Table </w:t>
      </w:r>
      <w:r>
        <w:rPr>
          <w:rFonts w:hint="eastAsia"/>
          <w:lang w:val="en-US" w:eastAsia="zh-CN"/>
        </w:rPr>
        <w:t xml:space="preserve">9. Required SNR and link budget margin for </w:t>
      </w:r>
      <w:r>
        <w:rPr>
          <w:rFonts w:hint="eastAsia"/>
          <w:highlight w:val="none"/>
          <w:lang w:val="en-US" w:eastAsia="zh-CN"/>
        </w:rPr>
        <w:t xml:space="preserve">uplink </w:t>
      </w:r>
      <w:r>
        <w:rPr>
          <w:rFonts w:hint="eastAsia"/>
          <w:lang w:val="en-US" w:eastAsia="zh-CN"/>
        </w:rPr>
        <w:t xml:space="preserve">3kbps low data rate service </w:t>
      </w:r>
    </w:p>
    <w:tbl>
      <w:tblPr>
        <w:tblStyle w:val="21"/>
        <w:tblW w:w="89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00"/>
        <w:gridCol w:w="1198"/>
        <w:gridCol w:w="944"/>
        <w:gridCol w:w="983"/>
        <w:gridCol w:w="1521"/>
        <w:gridCol w:w="1085"/>
        <w:gridCol w:w="853"/>
        <w:gridCol w:w="10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jc w:val="center"/>
        </w:trPr>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Case</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Satellite orbit</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Satellite parameter set</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 angle (deg)</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Service type</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UL CNR (dB) </w:t>
            </w:r>
            <w:r>
              <w:rPr>
                <w:rFonts w:hint="eastAsia"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2PRB</w:t>
            </w:r>
            <w:r>
              <w:rPr>
                <w:rFonts w:hint="eastAsia"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at beam edge</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Required SNR (dB)</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Link budget margin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GEO</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rPr>
            </w:pPr>
            <w:r>
              <w:rPr>
                <w:rFonts w:hint="eastAsia" w:eastAsia="宋体" w:cs="Times New Roman"/>
                <w:i w:val="0"/>
                <w:iCs w:val="0"/>
                <w:color w:val="000000"/>
                <w:sz w:val="20"/>
                <w:szCs w:val="20"/>
                <w:u w:val="none"/>
                <w:lang w:val="en-US" w:eastAsia="zh-CN"/>
              </w:rPr>
              <w:t>3kbps</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-21.9 </w:t>
            </w:r>
          </w:p>
        </w:tc>
        <w:tc>
          <w:tcPr>
            <w:tcW w:w="8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-12.3 </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GEO</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sz w:val="20"/>
                <w:szCs w:val="20"/>
                <w:u w:val="none"/>
                <w:lang w:val="en-US" w:eastAsia="zh-CN"/>
              </w:rPr>
              <w:t>3kbps</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-26.8 </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LEO-1200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sz w:val="20"/>
                <w:szCs w:val="20"/>
                <w:u w:val="none"/>
                <w:lang w:val="en-US" w:eastAsia="zh-CN"/>
              </w:rPr>
              <w:t>3kbps</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-19.6 </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 (Optional)</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LEO-600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sz w:val="20"/>
                <w:szCs w:val="20"/>
                <w:u w:val="none"/>
                <w:lang w:val="en-US" w:eastAsia="zh-CN"/>
              </w:rPr>
              <w:t>3kbps</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-14.2 </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 (Optional)</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MEO</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sz w:val="20"/>
                <w:szCs w:val="20"/>
                <w:u w:val="none"/>
                <w:lang w:val="en-US" w:eastAsia="zh-CN"/>
              </w:rPr>
              <w:t>3kbps</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-17.5 </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 (Optional)</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MEO</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sz w:val="20"/>
                <w:szCs w:val="20"/>
                <w:u w:val="none"/>
                <w:lang w:val="en-US" w:eastAsia="zh-CN"/>
              </w:rPr>
              <w:t>3kbps</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-26.7 </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-14.4 </w:t>
            </w:r>
          </w:p>
        </w:tc>
      </w:tr>
    </w:tbl>
    <w:p>
      <w:pPr>
        <w:rPr>
          <w:i/>
          <w:color w:val="000000" w:themeColor="text1"/>
          <w14:textFill>
            <w14:solidFill>
              <w14:schemeClr w14:val="tx1"/>
            </w14:solidFill>
          </w14:textFill>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11</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uplink, low data rate service, 3kbps, 32 repetitions, coding rate = 0.15, rural LOS scenario, 10%BLER, our simulation result is that the required SNR is -12.3dB. The link budget margin is</w:t>
      </w:r>
    </w:p>
    <w:p>
      <w:pPr>
        <w:rPr>
          <w:rFonts w:hint="default"/>
          <w:i/>
          <w:color w:val="000000" w:themeColor="text1"/>
          <w:lang w:val="en-US" w:eastAsia="zh-CN"/>
          <w14:textFill>
            <w14:solidFill>
              <w14:schemeClr w14:val="tx1"/>
            </w14:solidFill>
          </w14:textFill>
        </w:rPr>
      </w:pPr>
      <w:r>
        <w:rPr>
          <w:rFonts w:hint="eastAsia"/>
          <w:i/>
          <w:color w:val="000000" w:themeColor="text1"/>
          <w:lang w:val="en-US" w:eastAsia="zh-CN"/>
          <w14:textFill>
            <w14:solidFill>
              <w14:schemeClr w14:val="tx1"/>
            </w14:solidFill>
          </w14:textFill>
        </w:rPr>
        <w:t xml:space="preserve"> in the range of  [-14.5, 1.9]dB. For example, for case 2 (GEO, set2), link budget margin is -14.5dB.</w:t>
      </w:r>
    </w:p>
    <w:p>
      <w:pPr>
        <w:rPr>
          <w:rFonts w:hint="eastAsia" w:eastAsiaTheme="minorEastAsia"/>
          <w:i/>
          <w:color w:val="000000" w:themeColor="text1"/>
          <w:lang w:val="en-US" w:eastAsia="zh-CN"/>
          <w14:textFill>
            <w14:solidFill>
              <w14:schemeClr w14:val="tx1"/>
            </w14:solidFill>
          </w14:textFill>
        </w:rPr>
      </w:pPr>
    </w:p>
    <w:p>
      <w:pPr>
        <w:rPr>
          <w:rFonts w:hint="eastAsia"/>
          <w:lang w:val="en-US" w:eastAsia="zh-CN"/>
        </w:rPr>
      </w:pPr>
      <w:r>
        <w:rPr>
          <w:rFonts w:hint="eastAsia"/>
          <w:lang w:val="en-US" w:eastAsia="zh-CN"/>
        </w:rPr>
        <w:t xml:space="preserve">For uplink, 100kps low data rate service, 32 repetitions, 32PRB, coding rate = 0.32, rural LOS scenario, </w:t>
      </w:r>
      <w:r>
        <w:rPr>
          <w:rFonts w:hint="eastAsia"/>
          <w:highlight w:val="none"/>
          <w:lang w:val="en-US" w:eastAsia="zh-CN"/>
        </w:rPr>
        <w:t xml:space="preserve">10%BLER, our simulation result is that the required SNR is -13.0dB. The link budget margin is listed in table 10.  </w:t>
      </w:r>
    </w:p>
    <w:p>
      <w:pPr>
        <w:rPr>
          <w:rFonts w:hint="eastAsia"/>
          <w:lang w:val="en-US" w:eastAsia="zh-CN"/>
        </w:rPr>
      </w:pPr>
    </w:p>
    <w:p>
      <w:pPr>
        <w:pStyle w:val="11"/>
        <w:rPr>
          <w:rFonts w:hint="default"/>
          <w:lang w:val="en-US" w:eastAsia="zh-CN"/>
        </w:rPr>
      </w:pPr>
      <w:r>
        <w:rPr>
          <w:rFonts w:hint="eastAsia" w:eastAsia="Yu Gothic"/>
          <w:szCs w:val="20"/>
          <w:lang w:val="en-US" w:eastAsia="zh-CN"/>
        </w:rPr>
        <w:t xml:space="preserve"> </w:t>
      </w:r>
      <w:r>
        <w:t xml:space="preserve">Table </w:t>
      </w:r>
      <w:r>
        <w:rPr>
          <w:rFonts w:hint="eastAsia"/>
          <w:lang w:val="en-US" w:eastAsia="zh-CN"/>
        </w:rPr>
        <w:t>10. Required SNR and link budget margin for uplink 100kbps low data rate service</w:t>
      </w:r>
    </w:p>
    <w:tbl>
      <w:tblPr>
        <w:tblStyle w:val="21"/>
        <w:tblW w:w="86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00"/>
        <w:gridCol w:w="1156"/>
        <w:gridCol w:w="901"/>
        <w:gridCol w:w="983"/>
        <w:gridCol w:w="1383"/>
        <w:gridCol w:w="1095"/>
        <w:gridCol w:w="950"/>
        <w:gridCol w:w="8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jc w:val="center"/>
        </w:trPr>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Case</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Satellite orbit</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Satellite parameter set</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 angle (deg)</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Service type</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UL CNR (dB) </w:t>
            </w:r>
            <w:r>
              <w:rPr>
                <w:rFonts w:hint="eastAsia" w:ascii="宋体" w:hAnsi="宋体" w:eastAsia="宋体" w:cs="宋体"/>
                <w:i w:val="0"/>
                <w:iCs w:val="0"/>
                <w:color w:val="000000"/>
                <w:kern w:val="0"/>
                <w:sz w:val="20"/>
                <w:szCs w:val="20"/>
                <w:u w:val="none"/>
                <w:lang w:val="en-US" w:eastAsia="zh-CN" w:bidi="ar"/>
              </w:rPr>
              <w:t>（</w:t>
            </w:r>
            <w:r>
              <w:rPr>
                <w:rFonts w:hint="eastAsia" w:eastAsia="宋体" w:cs="Times New Roman"/>
                <w:i w:val="0"/>
                <w:iCs w:val="0"/>
                <w:color w:val="000000"/>
                <w:kern w:val="0"/>
                <w:sz w:val="20"/>
                <w:szCs w:val="20"/>
                <w:u w:val="none"/>
                <w:lang w:val="en-US" w:eastAsia="zh-CN" w:bidi="ar"/>
              </w:rPr>
              <w:t>32</w:t>
            </w:r>
            <w:r>
              <w:rPr>
                <w:rFonts w:hint="default" w:ascii="Times New Roman" w:hAnsi="Times New Roman" w:eastAsia="宋体" w:cs="Times New Roman"/>
                <w:i w:val="0"/>
                <w:iCs w:val="0"/>
                <w:color w:val="000000"/>
                <w:kern w:val="0"/>
                <w:sz w:val="20"/>
                <w:szCs w:val="20"/>
                <w:u w:val="none"/>
                <w:lang w:val="en-US" w:eastAsia="zh-CN" w:bidi="ar"/>
              </w:rPr>
              <w:t>PRB</w:t>
            </w:r>
            <w:r>
              <w:rPr>
                <w:rFonts w:hint="eastAsia"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at beam edge</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Required SNR (dB)</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Link budget margin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GEO</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sz w:val="20"/>
                <w:szCs w:val="20"/>
                <w:u w:val="none"/>
                <w:lang w:val="en-US" w:eastAsia="zh-CN"/>
              </w:rPr>
              <w:t>100kbps</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-33.9 </w:t>
            </w:r>
          </w:p>
        </w:tc>
        <w:tc>
          <w:tcPr>
            <w:tcW w:w="9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3.</w:t>
            </w:r>
            <w:r>
              <w:rPr>
                <w:rFonts w:hint="default" w:ascii="Times New Roman" w:hAnsi="Times New Roman" w:eastAsia="宋体" w:cs="Times New Roman"/>
                <w:i w:val="0"/>
                <w:iCs w:val="0"/>
                <w:color w:val="000000"/>
                <w:kern w:val="0"/>
                <w:sz w:val="20"/>
                <w:szCs w:val="20"/>
                <w:u w:val="none"/>
                <w:lang w:val="en-US" w:eastAsia="zh-CN" w:bidi="ar"/>
              </w:rPr>
              <w:t xml:space="preserve">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GEO</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sz w:val="20"/>
                <w:szCs w:val="20"/>
                <w:u w:val="none"/>
                <w:lang w:val="en-US" w:eastAsia="zh-CN"/>
              </w:rPr>
              <w:t>100kbps</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-38.8 </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LEO-1200</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sz w:val="20"/>
                <w:szCs w:val="20"/>
                <w:u w:val="none"/>
                <w:lang w:val="en-US" w:eastAsia="zh-CN"/>
              </w:rPr>
              <w:t>100kbps</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-31.6 </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 (Optional)</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LEO-600</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sz w:val="20"/>
                <w:szCs w:val="20"/>
                <w:u w:val="none"/>
                <w:lang w:val="en-US" w:eastAsia="zh-CN"/>
              </w:rPr>
              <w:t>100kbps</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-26.2 </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 (Optional)</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MEO</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sz w:val="20"/>
                <w:szCs w:val="20"/>
                <w:u w:val="none"/>
                <w:lang w:val="en-US" w:eastAsia="zh-CN"/>
              </w:rPr>
              <w:t>100kbps</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-29.5 </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 (Optional)</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MEO</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sz w:val="20"/>
                <w:szCs w:val="20"/>
                <w:u w:val="none"/>
                <w:lang w:val="en-US" w:eastAsia="zh-CN"/>
              </w:rPr>
              <w:t>100kbps</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-38.7 </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-25.7 </w:t>
            </w:r>
          </w:p>
        </w:tc>
      </w:tr>
    </w:tbl>
    <w:p>
      <w:pPr>
        <w:rPr>
          <w:rFonts w:hint="eastAsia" w:eastAsiaTheme="minorEastAsia"/>
          <w:i/>
          <w:color w:val="000000" w:themeColor="text1"/>
          <w:lang w:val="en-US" w:eastAsia="zh-CN"/>
          <w14:textFill>
            <w14:solidFill>
              <w14:schemeClr w14:val="tx1"/>
            </w14:solidFill>
          </w14:textFill>
        </w:rPr>
      </w:pPr>
    </w:p>
    <w:p>
      <w:pPr>
        <w:jc w:val="both"/>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12</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 xml:space="preserve">For uplink, low data rate service, 100kbps, 32 repetitions, coding rate = 0.32, rural LOS scenario, 10%BLER, our simulation result is that the required SNR is -13.0dB. The link budget CNR is far below the required SNR. </w:t>
      </w:r>
    </w:p>
    <w:p>
      <w:pPr>
        <w:jc w:val="both"/>
        <w:rPr>
          <w:rFonts w:hint="default"/>
          <w:i/>
          <w:color w:val="000000" w:themeColor="text1"/>
          <w:lang w:val="en-US" w:eastAsia="zh-CN"/>
          <w14:textFill>
            <w14:solidFill>
              <w14:schemeClr w14:val="tx1"/>
            </w14:solidFill>
          </w14:textFill>
        </w:rPr>
      </w:pPr>
    </w:p>
    <w:p>
      <w:pPr>
        <w:rPr>
          <w:rFonts w:hint="default" w:eastAsiaTheme="minorEastAsia"/>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2</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NTN uplink, coverage enhancements are necessary for both VoIP and low data rate service.</w:t>
      </w:r>
    </w:p>
    <w:p>
      <w:pPr>
        <w:rPr>
          <w:i/>
          <w:color w:val="000000" w:themeColor="text1"/>
          <w:lang w:eastAsia="zh-CN"/>
          <w14:textFill>
            <w14:solidFill>
              <w14:schemeClr w14:val="tx1"/>
            </w14:solidFill>
          </w14:textFill>
        </w:rPr>
      </w:pPr>
    </w:p>
    <w:p>
      <w:pPr>
        <w:rPr>
          <w:i/>
          <w:color w:val="000000" w:themeColor="text1"/>
          <w:lang w:eastAsia="zh-CN"/>
          <w14:textFill>
            <w14:solidFill>
              <w14:schemeClr w14:val="tx1"/>
            </w14:solidFill>
          </w14:textFill>
        </w:rPr>
      </w:pPr>
    </w:p>
    <w:p>
      <w:pPr>
        <w:rPr>
          <w:i/>
          <w:color w:val="000000" w:themeColor="text1"/>
          <w:lang w:eastAsia="zh-CN"/>
          <w14:textFill>
            <w14:solidFill>
              <w14:schemeClr w14:val="tx1"/>
            </w14:solidFill>
          </w14:textFill>
        </w:rPr>
      </w:pPr>
    </w:p>
    <w:p>
      <w:pPr>
        <w:pStyle w:val="2"/>
        <w:numPr>
          <w:ilvl w:val="0"/>
          <w:numId w:val="0"/>
        </w:numPr>
        <w:jc w:val="both"/>
        <w:outlineLvl w:val="0"/>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4. </w:t>
      </w:r>
      <w:r>
        <w:rPr>
          <w:rFonts w:eastAsiaTheme="minorEastAsia"/>
          <w:color w:val="000000" w:themeColor="text1"/>
          <w:lang w:eastAsia="zh-CN"/>
          <w14:textFill>
            <w14:solidFill>
              <w14:schemeClr w14:val="tx1"/>
            </w14:solidFill>
          </w14:textFill>
        </w:rPr>
        <w:t>Conclusions</w:t>
      </w:r>
    </w:p>
    <w:p>
      <w:pPr>
        <w:rPr>
          <w:rFonts w:hint="default"/>
          <w:lang w:val="en-US" w:eastAsia="zh-CN"/>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NTN link budget, GEO / satellite parameter set-2 are more severe scenarios comparing with LEO / satellite parameter set-1.</w:t>
      </w:r>
    </w:p>
    <w:p>
      <w:pPr>
        <w:rPr>
          <w:rFonts w:hint="eastAsia"/>
          <w:i/>
          <w:color w:val="000000" w:themeColor="text1"/>
          <w:lang w:val="en-US"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2</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 xml:space="preserve">Among all the 10 cases for evaluation, case2 (GEO/Set2) and case10 (MEO/Set2) have the lowest link budget CNR, case6 (LEO-600/Set1) and case3 (LEO-1200/Set1) have the highest link budget CNR. </w:t>
      </w:r>
    </w:p>
    <w:p>
      <w:pPr>
        <w:rPr>
          <w:rFonts w:hint="eastAsia"/>
          <w:lang w:val="en-US" w:eastAsia="zh-CN"/>
        </w:rPr>
      </w:pPr>
    </w:p>
    <w:p>
      <w:pPr>
        <w:rPr>
          <w:rFonts w:hint="default"/>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3</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downlink, the link budget does not depend on channel bandwidth, since satellite EIRP density, not EIRP is limited. For the non-optional cases, CNRs are in the range of [-13.3, -6.8]dB at the beam center or [-16.3, -9.8]dB at the beam edge.</w:t>
      </w:r>
    </w:p>
    <w:p>
      <w:pPr>
        <w:rPr>
          <w:rFonts w:hint="eastAsia"/>
          <w:i/>
          <w:color w:val="000000" w:themeColor="text1"/>
          <w:lang w:val="en-US"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4</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uplink, the link budget depends on channel bandwidth, since UE transmit power, not power density is limited. The larger the channel bandwidth is, the lower the uplink budget is. For channel bandwidth of 1PRB, and for the non-optional cases, CNRs are in the range of [-20.8, -13.6]dB at the beam center or [-23.8, -16.6]dB at the beam edge. For channel bandwidth of 8PRB, for example, the CNR range decreases 9dB from the ranges for 1PRB.</w:t>
      </w:r>
    </w:p>
    <w:p>
      <w:pPr>
        <w:rPr>
          <w:rFonts w:hint="eastAsia"/>
          <w:i/>
          <w:color w:val="000000" w:themeColor="text1"/>
          <w:lang w:val="en-US"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5</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 xml:space="preserve">For NR NTN, the link budgets of uplink and downlink are quite unbalanced. The uplink coverage enhancement would be more challenging than downlink. </w:t>
      </w:r>
    </w:p>
    <w:p>
      <w:pPr>
        <w:rPr>
          <w:rFonts w:hint="default"/>
          <w:i/>
          <w:color w:val="000000" w:themeColor="text1"/>
          <w:lang w:val="en-US"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6</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downlink, VoIP, 20 repetitions, 3PRB, rural LOS scenario, 2%BLER, the required SNR is -9.0 dB. The link budget margin is in the range of  [-1.4, 5.2]dB.</w:t>
      </w:r>
    </w:p>
    <w:p>
      <w:pPr>
        <w:rPr>
          <w:rFonts w:hint="default"/>
          <w:i/>
          <w:color w:val="000000" w:themeColor="text1"/>
          <w:lang w:val="en-US"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7</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downlink, low data rate service, 3kbps, 32 repetitions, coding rate = 0.25, rural LOS scenario, 10%BLER, our simulation result is that the required SNR is -13.0dB. The link budget margin is</w:t>
      </w:r>
    </w:p>
    <w:p>
      <w:pPr>
        <w:rPr>
          <w:rFonts w:hint="default"/>
          <w:i/>
          <w:color w:val="000000" w:themeColor="text1"/>
          <w:lang w:val="en-US" w:eastAsia="zh-CN"/>
          <w14:textFill>
            <w14:solidFill>
              <w14:schemeClr w14:val="tx1"/>
            </w14:solidFill>
          </w14:textFill>
        </w:rPr>
      </w:pPr>
      <w:r>
        <w:rPr>
          <w:rFonts w:hint="eastAsia"/>
          <w:i/>
          <w:color w:val="000000" w:themeColor="text1"/>
          <w:lang w:val="en-US" w:eastAsia="zh-CN"/>
          <w14:textFill>
            <w14:solidFill>
              <w14:schemeClr w14:val="tx1"/>
            </w14:solidFill>
          </w14:textFill>
        </w:rPr>
        <w:t xml:space="preserve"> in the range of  [-3.3, 4.2]dB. For example, for case 2 (GEO, set2), link budget margin is negative (-3.3dB).</w:t>
      </w: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8</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downlink, low data rate service, 1Mbps, 8 repetitions, coding rate = 0.17, rural LOS scenario, 10%BLER, our simulation result is that the required SNR is -11.0dB. The link budget margin is</w:t>
      </w:r>
    </w:p>
    <w:p>
      <w:pPr>
        <w:jc w:val="both"/>
        <w:rPr>
          <w:rFonts w:hint="default"/>
          <w:i/>
          <w:color w:val="000000" w:themeColor="text1"/>
          <w:lang w:val="en-US" w:eastAsia="zh-CN"/>
          <w14:textFill>
            <w14:solidFill>
              <w14:schemeClr w14:val="tx1"/>
            </w14:solidFill>
          </w14:textFill>
        </w:rPr>
      </w:pPr>
      <w:r>
        <w:rPr>
          <w:rFonts w:hint="eastAsia"/>
          <w:i/>
          <w:color w:val="000000" w:themeColor="text1"/>
          <w:lang w:val="en-US" w:eastAsia="zh-CN"/>
          <w14:textFill>
            <w14:solidFill>
              <w14:schemeClr w14:val="tx1"/>
            </w14:solidFill>
          </w14:textFill>
        </w:rPr>
        <w:t xml:space="preserve"> in the range of  [-5.3, 2.4]dB. For example, for case 2 (GEO, set2), link budget margin is -5.3dB.</w:t>
      </w:r>
    </w:p>
    <w:p>
      <w:pPr>
        <w:rPr>
          <w:i/>
          <w:color w:val="000000" w:themeColor="text1"/>
          <w:lang w:eastAsia="zh-CN"/>
          <w14:textFill>
            <w14:solidFill>
              <w14:schemeClr w14:val="tx1"/>
            </w14:solidFill>
          </w14:textFill>
        </w:rPr>
      </w:pPr>
    </w:p>
    <w:p>
      <w:pPr>
        <w:rPr>
          <w:rFonts w:hint="default"/>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9</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Repetition may not be fully utilized due to actual considerations on data rate, coding rate, channel bandwidth.</w:t>
      </w:r>
    </w:p>
    <w:p>
      <w:pPr>
        <w:rPr>
          <w:i/>
          <w:color w:val="000000" w:themeColor="text1"/>
          <w:lang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1</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NTN downlink, GEO coverage needs enhancement.</w:t>
      </w:r>
    </w:p>
    <w:p>
      <w:pPr>
        <w:rPr>
          <w:rFonts w:hint="default"/>
          <w:i/>
          <w:color w:val="000000" w:themeColor="text1"/>
          <w:lang w:val="en-US" w:eastAsia="zh-CN"/>
          <w14:textFill>
            <w14:solidFill>
              <w14:schemeClr w14:val="tx1"/>
            </w14:solidFill>
          </w14:textFill>
        </w:rPr>
      </w:pPr>
    </w:p>
    <w:p>
      <w:pPr>
        <w:rPr>
          <w:rFonts w:hint="default"/>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10</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uplink, VoIP, 20 repetitions, without packet combining, 2PRB, rural LOS scenario, 2%BLER, the required SNR is -8.3 dB. The link budget margin is in the range of  [-11.3, 0.1]dB.</w:t>
      </w:r>
    </w:p>
    <w:p>
      <w:pPr>
        <w:rPr>
          <w:i/>
          <w:color w:val="000000" w:themeColor="text1"/>
          <w:lang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11</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uplink, low data rate service, 3kbps, 32 repetitions, coding rate = 0.15, rural LOS scenario, 10%BLER, our simulation result is that the required SNR is -12.3dB. The link budget margin is</w:t>
      </w:r>
    </w:p>
    <w:p>
      <w:pPr>
        <w:rPr>
          <w:rFonts w:hint="default"/>
          <w:i/>
          <w:color w:val="000000" w:themeColor="text1"/>
          <w:lang w:val="en-US" w:eastAsia="zh-CN"/>
          <w14:textFill>
            <w14:solidFill>
              <w14:schemeClr w14:val="tx1"/>
            </w14:solidFill>
          </w14:textFill>
        </w:rPr>
      </w:pPr>
      <w:r>
        <w:rPr>
          <w:rFonts w:hint="eastAsia"/>
          <w:i/>
          <w:color w:val="000000" w:themeColor="text1"/>
          <w:lang w:val="en-US" w:eastAsia="zh-CN"/>
          <w14:textFill>
            <w14:solidFill>
              <w14:schemeClr w14:val="tx1"/>
            </w14:solidFill>
          </w14:textFill>
        </w:rPr>
        <w:t xml:space="preserve"> in the range of  [-14.5, 1.9]dB. For example, for case 2 (GEO, set2), link budget margin is -14.5dB.</w:t>
      </w:r>
    </w:p>
    <w:p>
      <w:pPr>
        <w:rPr>
          <w:i/>
          <w:color w:val="000000" w:themeColor="text1"/>
          <w:lang w:eastAsia="zh-CN"/>
          <w14:textFill>
            <w14:solidFill>
              <w14:schemeClr w14:val="tx1"/>
            </w14:solidFill>
          </w14:textFill>
        </w:rPr>
      </w:pPr>
    </w:p>
    <w:p>
      <w:pPr>
        <w:jc w:val="both"/>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12</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 xml:space="preserve">For uplink, low data rate service, 100kbps, 32 repetitions, coding rate = 0.32, rural LOS scenario, 10%BLER, our simulation result is that the required SNR is -13.0dB. The link budget CNR is far below the required SNR. </w:t>
      </w:r>
    </w:p>
    <w:p>
      <w:pPr>
        <w:jc w:val="both"/>
        <w:rPr>
          <w:rFonts w:hint="default"/>
          <w:i/>
          <w:color w:val="000000" w:themeColor="text1"/>
          <w:lang w:val="en-US" w:eastAsia="zh-CN"/>
          <w14:textFill>
            <w14:solidFill>
              <w14:schemeClr w14:val="tx1"/>
            </w14:solidFill>
          </w14:textFill>
        </w:rPr>
      </w:pPr>
    </w:p>
    <w:p>
      <w:pPr>
        <w:rPr>
          <w:rFonts w:hint="default" w:eastAsiaTheme="minorEastAsia"/>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2</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NTN uplink, coverage enhancements are necessary for both VoIP and low data rate service.</w:t>
      </w:r>
    </w:p>
    <w:p>
      <w:pPr>
        <w:rPr>
          <w:i/>
          <w:color w:val="000000" w:themeColor="text1"/>
          <w:lang w:eastAsia="zh-CN"/>
          <w14:textFill>
            <w14:solidFill>
              <w14:schemeClr w14:val="tx1"/>
            </w14:solidFill>
          </w14:textFill>
        </w:rPr>
      </w:pPr>
    </w:p>
    <w:p>
      <w:pPr>
        <w:pStyle w:val="2"/>
        <w:tabs>
          <w:tab w:val="left" w:pos="720"/>
        </w:tabs>
        <w:ind w:left="432" w:hanging="432"/>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References</w:t>
      </w:r>
    </w:p>
    <w:p>
      <w:pPr>
        <w:pStyle w:val="38"/>
        <w:snapToGrid w:val="0"/>
        <w:spacing w:after="60"/>
        <w:rPr>
          <w:sz w:val="22"/>
          <w:szCs w:val="22"/>
        </w:rPr>
      </w:pPr>
      <w:bookmarkStart w:id="6" w:name="_Ref51937982"/>
      <w:bookmarkStart w:id="7" w:name="_Ref30583942"/>
      <w:bookmarkStart w:id="8" w:name="_Ref525819223"/>
      <w:bookmarkStart w:id="9" w:name="_Ref20487234"/>
      <w:r>
        <w:rPr>
          <w:sz w:val="22"/>
          <w:szCs w:val="22"/>
          <w:lang w:eastAsia="zh-CN"/>
        </w:rPr>
        <w:t>RP-213690, New WI: NR NTN (Non-Terrestrial Networks) enhancements</w:t>
      </w:r>
    </w:p>
    <w:p>
      <w:pPr>
        <w:pStyle w:val="38"/>
        <w:snapToGrid w:val="0"/>
        <w:spacing w:after="60"/>
        <w:rPr>
          <w:sz w:val="22"/>
          <w:szCs w:val="22"/>
        </w:rPr>
      </w:pPr>
      <w:r>
        <w:rPr>
          <w:rFonts w:hint="eastAsia"/>
          <w:sz w:val="22"/>
          <w:szCs w:val="22"/>
        </w:rPr>
        <w:t>R1-2205212_Summary #3 for 9.12.1 Coverage enhancement for NR NTN</w:t>
      </w:r>
    </w:p>
    <w:bookmarkEnd w:id="2"/>
    <w:bookmarkEnd w:id="3"/>
    <w:bookmarkEnd w:id="4"/>
    <w:bookmarkEnd w:id="6"/>
    <w:bookmarkEnd w:id="7"/>
    <w:bookmarkEnd w:id="8"/>
    <w:bookmarkEnd w:id="9"/>
    <w:p>
      <w:pPr>
        <w:pStyle w:val="38"/>
        <w:snapToGrid w:val="0"/>
        <w:spacing w:after="60"/>
        <w:rPr>
          <w:sz w:val="22"/>
          <w:szCs w:val="22"/>
        </w:rPr>
      </w:pPr>
      <w:r>
        <w:rPr>
          <w:rFonts w:hint="eastAsia"/>
          <w:sz w:val="22"/>
          <w:szCs w:val="22"/>
        </w:rPr>
        <w:t>Chair's notes RAN1#109-e 9.12 EOM</w:t>
      </w:r>
    </w:p>
    <w:p>
      <w:pPr>
        <w:pStyle w:val="38"/>
        <w:snapToGrid w:val="0"/>
        <w:spacing w:after="60"/>
        <w:rPr>
          <w:sz w:val="22"/>
          <w:szCs w:val="22"/>
        </w:rPr>
      </w:pPr>
      <w:r>
        <w:rPr>
          <w:rFonts w:hint="eastAsia"/>
          <w:sz w:val="22"/>
          <w:szCs w:val="22"/>
        </w:rPr>
        <w:t>T</w:t>
      </w:r>
      <w:r>
        <w:rPr>
          <w:sz w:val="22"/>
          <w:szCs w:val="22"/>
        </w:rPr>
        <w:t>R-38.821, Solutions for NR to support non-terrestrial networks (NTN)</w:t>
      </w:r>
    </w:p>
    <w:p>
      <w:pPr>
        <w:pStyle w:val="38"/>
        <w:snapToGrid w:val="0"/>
        <w:spacing w:after="60"/>
        <w:rPr>
          <w:sz w:val="22"/>
          <w:szCs w:val="22"/>
        </w:rPr>
      </w:pPr>
      <w:r>
        <w:rPr>
          <w:rFonts w:hint="eastAsia"/>
          <w:sz w:val="22"/>
          <w:szCs w:val="22"/>
        </w:rPr>
        <w:t>RP-220590 NTN-NR MEO Scenario and Characteristics</w:t>
      </w:r>
    </w:p>
    <w:p>
      <w:pPr>
        <w:rPr>
          <w:sz w:val="22"/>
          <w:szCs w:val="22"/>
        </w:rPr>
      </w:pPr>
      <w:r>
        <w:rPr>
          <w:sz w:val="22"/>
          <w:szCs w:val="22"/>
        </w:rPr>
        <w:br w:type="page"/>
      </w:r>
    </w:p>
    <w:p>
      <w:pPr>
        <w:pStyle w:val="38"/>
        <w:widowControl/>
        <w:numPr>
          <w:ilvl w:val="0"/>
          <w:numId w:val="0"/>
        </w:numPr>
        <w:autoSpaceDE w:val="0"/>
        <w:autoSpaceDN w:val="0"/>
        <w:adjustRightInd/>
        <w:snapToGrid w:val="0"/>
        <w:spacing w:after="60" w:line="240" w:lineRule="auto"/>
        <w:jc w:val="both"/>
        <w:rPr>
          <w:sz w:val="22"/>
          <w:szCs w:val="22"/>
        </w:rPr>
      </w:pPr>
    </w:p>
    <w:p>
      <w:pPr>
        <w:pStyle w:val="11"/>
        <w:rPr>
          <w:rFonts w:eastAsia="Calibri"/>
        </w:rPr>
      </w:pPr>
    </w:p>
    <w:sectPr>
      <w:pgSz w:w="11906" w:h="16838"/>
      <w:pgMar w:top="1440" w:right="1151" w:bottom="1440" w:left="144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Yu Gothic">
    <w:panose1 w:val="020B0400000000000000"/>
    <w:charset w:val="80"/>
    <w:family w:val="swiss"/>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12D80E10"/>
    <w:multiLevelType w:val="multilevel"/>
    <w:tmpl w:val="12D80E10"/>
    <w:lvl w:ilvl="0" w:tentative="0">
      <w:start w:val="5"/>
      <w:numFmt w:val="bullet"/>
      <w:lvlText w:val="-"/>
      <w:lvlJc w:val="left"/>
      <w:pPr>
        <w:ind w:left="360" w:hanging="360"/>
      </w:pPr>
      <w:rPr>
        <w:rFonts w:hint="default" w:ascii="Times New Roman" w:hAnsi="Times New Roman" w:eastAsia="MS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4C5476"/>
    <w:multiLevelType w:val="multilevel"/>
    <w:tmpl w:val="1C4C547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UwYzA5MTVkNmU5NmE2NWQ1MGVlN2RhN2VlZmY1NWQ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25D5"/>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A0B"/>
    <w:rsid w:val="00E5520A"/>
    <w:rsid w:val="00E57531"/>
    <w:rsid w:val="00E57996"/>
    <w:rsid w:val="00E57C88"/>
    <w:rsid w:val="00E615F9"/>
    <w:rsid w:val="00E62F11"/>
    <w:rsid w:val="00E63023"/>
    <w:rsid w:val="00E63A3B"/>
    <w:rsid w:val="00E65EE7"/>
    <w:rsid w:val="00E6663D"/>
    <w:rsid w:val="00E6716D"/>
    <w:rsid w:val="00E714B7"/>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2790"/>
    <w:rsid w:val="00FA3792"/>
    <w:rsid w:val="00FA437F"/>
    <w:rsid w:val="00FB0F9F"/>
    <w:rsid w:val="00FB15AE"/>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2D2F0D"/>
    <w:rsid w:val="01435D3B"/>
    <w:rsid w:val="015754F6"/>
    <w:rsid w:val="016054B8"/>
    <w:rsid w:val="01AE6BC6"/>
    <w:rsid w:val="01BE664F"/>
    <w:rsid w:val="01E4322D"/>
    <w:rsid w:val="01F126DB"/>
    <w:rsid w:val="020857B1"/>
    <w:rsid w:val="02581886"/>
    <w:rsid w:val="0272604C"/>
    <w:rsid w:val="028D5673"/>
    <w:rsid w:val="02954528"/>
    <w:rsid w:val="036068E4"/>
    <w:rsid w:val="036A7762"/>
    <w:rsid w:val="037B371D"/>
    <w:rsid w:val="037E1843"/>
    <w:rsid w:val="03FF60FC"/>
    <w:rsid w:val="0462668B"/>
    <w:rsid w:val="04657F2A"/>
    <w:rsid w:val="04A503F1"/>
    <w:rsid w:val="04D035F5"/>
    <w:rsid w:val="04FC263C"/>
    <w:rsid w:val="04FC5974"/>
    <w:rsid w:val="064E6EC7"/>
    <w:rsid w:val="06787243"/>
    <w:rsid w:val="07723089"/>
    <w:rsid w:val="08144B81"/>
    <w:rsid w:val="082617B1"/>
    <w:rsid w:val="083420ED"/>
    <w:rsid w:val="08846234"/>
    <w:rsid w:val="089F30DB"/>
    <w:rsid w:val="08C711B3"/>
    <w:rsid w:val="08DD6D78"/>
    <w:rsid w:val="09856EFE"/>
    <w:rsid w:val="099077F7"/>
    <w:rsid w:val="0A27197D"/>
    <w:rsid w:val="0A523F38"/>
    <w:rsid w:val="0A8F7AAE"/>
    <w:rsid w:val="0AB063A2"/>
    <w:rsid w:val="0AD019C3"/>
    <w:rsid w:val="0AE0030A"/>
    <w:rsid w:val="0AE90761"/>
    <w:rsid w:val="0B0E05DE"/>
    <w:rsid w:val="0B723658"/>
    <w:rsid w:val="0BA47589"/>
    <w:rsid w:val="0C430B50"/>
    <w:rsid w:val="0C707B9E"/>
    <w:rsid w:val="0C786F0E"/>
    <w:rsid w:val="0C8C0749"/>
    <w:rsid w:val="0C906AC6"/>
    <w:rsid w:val="0C9F42C1"/>
    <w:rsid w:val="0CB96C11"/>
    <w:rsid w:val="0CE045F1"/>
    <w:rsid w:val="0CFD51A3"/>
    <w:rsid w:val="0D066A0A"/>
    <w:rsid w:val="0D474670"/>
    <w:rsid w:val="0D7C07BE"/>
    <w:rsid w:val="0DF02F5A"/>
    <w:rsid w:val="0DFE53E4"/>
    <w:rsid w:val="0E0D58BA"/>
    <w:rsid w:val="0E325320"/>
    <w:rsid w:val="0EEF106E"/>
    <w:rsid w:val="0EF80C90"/>
    <w:rsid w:val="0F0729FA"/>
    <w:rsid w:val="0F1401B8"/>
    <w:rsid w:val="0F2033CB"/>
    <w:rsid w:val="0F64775C"/>
    <w:rsid w:val="0FA3307A"/>
    <w:rsid w:val="104430E9"/>
    <w:rsid w:val="1080556E"/>
    <w:rsid w:val="10A24245"/>
    <w:rsid w:val="10F644F5"/>
    <w:rsid w:val="10F7015B"/>
    <w:rsid w:val="11427629"/>
    <w:rsid w:val="11475BE9"/>
    <w:rsid w:val="114E421F"/>
    <w:rsid w:val="118E286E"/>
    <w:rsid w:val="11BF2051"/>
    <w:rsid w:val="129F6752"/>
    <w:rsid w:val="12CD4B5B"/>
    <w:rsid w:val="12F454FE"/>
    <w:rsid w:val="130354DD"/>
    <w:rsid w:val="1343554A"/>
    <w:rsid w:val="13535599"/>
    <w:rsid w:val="138A13ED"/>
    <w:rsid w:val="13DD5D2E"/>
    <w:rsid w:val="148B307D"/>
    <w:rsid w:val="14F90946"/>
    <w:rsid w:val="15042FE5"/>
    <w:rsid w:val="15150AFB"/>
    <w:rsid w:val="15410CDB"/>
    <w:rsid w:val="154E5BF2"/>
    <w:rsid w:val="159D7523"/>
    <w:rsid w:val="15E75C04"/>
    <w:rsid w:val="16360D8E"/>
    <w:rsid w:val="16614100"/>
    <w:rsid w:val="17013AE2"/>
    <w:rsid w:val="17285CB9"/>
    <w:rsid w:val="17361246"/>
    <w:rsid w:val="176A0554"/>
    <w:rsid w:val="176B3A35"/>
    <w:rsid w:val="17714A14"/>
    <w:rsid w:val="17C0399D"/>
    <w:rsid w:val="17EA5768"/>
    <w:rsid w:val="18B22CF4"/>
    <w:rsid w:val="19677CA2"/>
    <w:rsid w:val="197B7B7C"/>
    <w:rsid w:val="1A626F8D"/>
    <w:rsid w:val="1A664C6F"/>
    <w:rsid w:val="1A6B244B"/>
    <w:rsid w:val="1A8218AD"/>
    <w:rsid w:val="1A951111"/>
    <w:rsid w:val="1B11697C"/>
    <w:rsid w:val="1C00080C"/>
    <w:rsid w:val="1C705992"/>
    <w:rsid w:val="1C73253C"/>
    <w:rsid w:val="1C8B27CB"/>
    <w:rsid w:val="1CC33AE8"/>
    <w:rsid w:val="1CFD70E6"/>
    <w:rsid w:val="1D503559"/>
    <w:rsid w:val="1D884F5D"/>
    <w:rsid w:val="1DB55626"/>
    <w:rsid w:val="1DD95CC8"/>
    <w:rsid w:val="1DDA0B2E"/>
    <w:rsid w:val="1E214A6A"/>
    <w:rsid w:val="1E2C508A"/>
    <w:rsid w:val="1E656BE9"/>
    <w:rsid w:val="1EA731C1"/>
    <w:rsid w:val="1EA96ECE"/>
    <w:rsid w:val="1EE23B1C"/>
    <w:rsid w:val="1EE404B5"/>
    <w:rsid w:val="201C5A4A"/>
    <w:rsid w:val="203D18F5"/>
    <w:rsid w:val="204D5FEA"/>
    <w:rsid w:val="20952209"/>
    <w:rsid w:val="20E57FD0"/>
    <w:rsid w:val="20EE5E5A"/>
    <w:rsid w:val="210F17D2"/>
    <w:rsid w:val="211C6F9B"/>
    <w:rsid w:val="2209080D"/>
    <w:rsid w:val="2210107D"/>
    <w:rsid w:val="22243A6D"/>
    <w:rsid w:val="222F1E4B"/>
    <w:rsid w:val="224A7763"/>
    <w:rsid w:val="225E0A1A"/>
    <w:rsid w:val="22714212"/>
    <w:rsid w:val="22CA6694"/>
    <w:rsid w:val="231D4A50"/>
    <w:rsid w:val="2366189C"/>
    <w:rsid w:val="24666791"/>
    <w:rsid w:val="246D0A09"/>
    <w:rsid w:val="24F86524"/>
    <w:rsid w:val="24FD5883"/>
    <w:rsid w:val="25814783"/>
    <w:rsid w:val="25B3069D"/>
    <w:rsid w:val="25D23219"/>
    <w:rsid w:val="25F83CB4"/>
    <w:rsid w:val="26414F23"/>
    <w:rsid w:val="2657371E"/>
    <w:rsid w:val="2657536F"/>
    <w:rsid w:val="26630E46"/>
    <w:rsid w:val="26C708A4"/>
    <w:rsid w:val="271C3B12"/>
    <w:rsid w:val="278F5E80"/>
    <w:rsid w:val="27B64475"/>
    <w:rsid w:val="27BC1756"/>
    <w:rsid w:val="27EC317E"/>
    <w:rsid w:val="27EC522A"/>
    <w:rsid w:val="27F8683B"/>
    <w:rsid w:val="28D65624"/>
    <w:rsid w:val="292562A2"/>
    <w:rsid w:val="29487555"/>
    <w:rsid w:val="29982084"/>
    <w:rsid w:val="29F33A8B"/>
    <w:rsid w:val="2A8E6FB6"/>
    <w:rsid w:val="2ACD2201"/>
    <w:rsid w:val="2B0521C7"/>
    <w:rsid w:val="2B110340"/>
    <w:rsid w:val="2B1A2E38"/>
    <w:rsid w:val="2B204A27"/>
    <w:rsid w:val="2B5005A4"/>
    <w:rsid w:val="2B940F71"/>
    <w:rsid w:val="2BA72DA3"/>
    <w:rsid w:val="2BB67139"/>
    <w:rsid w:val="2BBA4352"/>
    <w:rsid w:val="2BC846F6"/>
    <w:rsid w:val="2C5F50DB"/>
    <w:rsid w:val="2C7F1990"/>
    <w:rsid w:val="2C943483"/>
    <w:rsid w:val="2CA62D0A"/>
    <w:rsid w:val="2CBB70BA"/>
    <w:rsid w:val="2D090A00"/>
    <w:rsid w:val="2D1063D5"/>
    <w:rsid w:val="2D320A41"/>
    <w:rsid w:val="2D6B4704"/>
    <w:rsid w:val="2D8C3C8C"/>
    <w:rsid w:val="2E786212"/>
    <w:rsid w:val="2E9277C0"/>
    <w:rsid w:val="2E9848D4"/>
    <w:rsid w:val="2F401543"/>
    <w:rsid w:val="2FC13E2A"/>
    <w:rsid w:val="30360C34"/>
    <w:rsid w:val="304772F5"/>
    <w:rsid w:val="30933502"/>
    <w:rsid w:val="30B55C11"/>
    <w:rsid w:val="30B96137"/>
    <w:rsid w:val="30CD50F5"/>
    <w:rsid w:val="31224929"/>
    <w:rsid w:val="31263EA0"/>
    <w:rsid w:val="31697021"/>
    <w:rsid w:val="31D200FD"/>
    <w:rsid w:val="32496611"/>
    <w:rsid w:val="324C0BC5"/>
    <w:rsid w:val="32696CB3"/>
    <w:rsid w:val="327F701C"/>
    <w:rsid w:val="32CF7E2D"/>
    <w:rsid w:val="32EB1476"/>
    <w:rsid w:val="33977850"/>
    <w:rsid w:val="33C61E67"/>
    <w:rsid w:val="346559BF"/>
    <w:rsid w:val="349667E8"/>
    <w:rsid w:val="35700877"/>
    <w:rsid w:val="358B329D"/>
    <w:rsid w:val="35C622A1"/>
    <w:rsid w:val="364041CF"/>
    <w:rsid w:val="36415851"/>
    <w:rsid w:val="371B60A2"/>
    <w:rsid w:val="37AF2FDC"/>
    <w:rsid w:val="37D050DF"/>
    <w:rsid w:val="37D526F5"/>
    <w:rsid w:val="37F477AA"/>
    <w:rsid w:val="380F1449"/>
    <w:rsid w:val="38196A86"/>
    <w:rsid w:val="383E025E"/>
    <w:rsid w:val="384E2E24"/>
    <w:rsid w:val="386A5533"/>
    <w:rsid w:val="387A58E0"/>
    <w:rsid w:val="38902F85"/>
    <w:rsid w:val="389F7DD9"/>
    <w:rsid w:val="38DB4F4E"/>
    <w:rsid w:val="3A080B60"/>
    <w:rsid w:val="3AE03A42"/>
    <w:rsid w:val="3B141786"/>
    <w:rsid w:val="3B38482F"/>
    <w:rsid w:val="3B4B164C"/>
    <w:rsid w:val="3B586CDD"/>
    <w:rsid w:val="3BA76821"/>
    <w:rsid w:val="3BFC1A65"/>
    <w:rsid w:val="3C057A30"/>
    <w:rsid w:val="3C1313FC"/>
    <w:rsid w:val="3C631BAA"/>
    <w:rsid w:val="3C8C0310"/>
    <w:rsid w:val="3CB52AF5"/>
    <w:rsid w:val="3CD305C6"/>
    <w:rsid w:val="3CDC5C48"/>
    <w:rsid w:val="3CFC0DE3"/>
    <w:rsid w:val="3D246A6D"/>
    <w:rsid w:val="3D905786"/>
    <w:rsid w:val="3DD1395F"/>
    <w:rsid w:val="3E3A0996"/>
    <w:rsid w:val="3E467EA9"/>
    <w:rsid w:val="3E611186"/>
    <w:rsid w:val="3E784624"/>
    <w:rsid w:val="3ED33A18"/>
    <w:rsid w:val="3EE37DED"/>
    <w:rsid w:val="3EEA2F2A"/>
    <w:rsid w:val="3F536D21"/>
    <w:rsid w:val="3FB157F6"/>
    <w:rsid w:val="402031A4"/>
    <w:rsid w:val="402B1A4C"/>
    <w:rsid w:val="40754A75"/>
    <w:rsid w:val="408A7D9E"/>
    <w:rsid w:val="40C536CD"/>
    <w:rsid w:val="40C854ED"/>
    <w:rsid w:val="40CB216B"/>
    <w:rsid w:val="40FE2CBD"/>
    <w:rsid w:val="410C1B65"/>
    <w:rsid w:val="410D2F00"/>
    <w:rsid w:val="415E2D32"/>
    <w:rsid w:val="41A24857"/>
    <w:rsid w:val="41C932CA"/>
    <w:rsid w:val="421F2EEA"/>
    <w:rsid w:val="43210EE4"/>
    <w:rsid w:val="43326C4D"/>
    <w:rsid w:val="4366330F"/>
    <w:rsid w:val="43943464"/>
    <w:rsid w:val="439A2D2C"/>
    <w:rsid w:val="439D0364"/>
    <w:rsid w:val="43D23F8D"/>
    <w:rsid w:val="43FB7987"/>
    <w:rsid w:val="442944F4"/>
    <w:rsid w:val="443A0618"/>
    <w:rsid w:val="44431087"/>
    <w:rsid w:val="447D039C"/>
    <w:rsid w:val="44896D41"/>
    <w:rsid w:val="449201B8"/>
    <w:rsid w:val="44AC2D8E"/>
    <w:rsid w:val="451F3201"/>
    <w:rsid w:val="45621FA6"/>
    <w:rsid w:val="45A04342"/>
    <w:rsid w:val="45C407F8"/>
    <w:rsid w:val="45C67B21"/>
    <w:rsid w:val="461B60BF"/>
    <w:rsid w:val="46496788"/>
    <w:rsid w:val="46507129"/>
    <w:rsid w:val="466730B2"/>
    <w:rsid w:val="46C70011"/>
    <w:rsid w:val="46E464B1"/>
    <w:rsid w:val="47360322"/>
    <w:rsid w:val="47413A10"/>
    <w:rsid w:val="47507FEA"/>
    <w:rsid w:val="475F2724"/>
    <w:rsid w:val="47BE31A6"/>
    <w:rsid w:val="47E0136E"/>
    <w:rsid w:val="47E349BA"/>
    <w:rsid w:val="484C07B1"/>
    <w:rsid w:val="48653621"/>
    <w:rsid w:val="48657AC5"/>
    <w:rsid w:val="48E572C4"/>
    <w:rsid w:val="48EC3D42"/>
    <w:rsid w:val="48F055E1"/>
    <w:rsid w:val="49320998"/>
    <w:rsid w:val="49747FC0"/>
    <w:rsid w:val="498E4D8A"/>
    <w:rsid w:val="499F0DB5"/>
    <w:rsid w:val="49A613B6"/>
    <w:rsid w:val="4A0B5DF4"/>
    <w:rsid w:val="4A282B58"/>
    <w:rsid w:val="4B247E30"/>
    <w:rsid w:val="4B7A5635"/>
    <w:rsid w:val="4C8A7AFA"/>
    <w:rsid w:val="4CAE574C"/>
    <w:rsid w:val="4CBF726A"/>
    <w:rsid w:val="4CEE62DB"/>
    <w:rsid w:val="4D1906D8"/>
    <w:rsid w:val="4D242D6A"/>
    <w:rsid w:val="4D4F5150"/>
    <w:rsid w:val="4D8B58D8"/>
    <w:rsid w:val="4DCB3F26"/>
    <w:rsid w:val="4DE73303"/>
    <w:rsid w:val="4DF3347D"/>
    <w:rsid w:val="4E8B0A28"/>
    <w:rsid w:val="4EFE028C"/>
    <w:rsid w:val="4F594FBD"/>
    <w:rsid w:val="4F6208BA"/>
    <w:rsid w:val="4FC74BC1"/>
    <w:rsid w:val="4FEC63D6"/>
    <w:rsid w:val="505345EA"/>
    <w:rsid w:val="505E04E8"/>
    <w:rsid w:val="5096582F"/>
    <w:rsid w:val="50A70C7B"/>
    <w:rsid w:val="50C316EB"/>
    <w:rsid w:val="50F96FFC"/>
    <w:rsid w:val="510720B3"/>
    <w:rsid w:val="5133250E"/>
    <w:rsid w:val="51E11F6A"/>
    <w:rsid w:val="51FA127E"/>
    <w:rsid w:val="521239F1"/>
    <w:rsid w:val="523A3B34"/>
    <w:rsid w:val="523D6BF5"/>
    <w:rsid w:val="5255596C"/>
    <w:rsid w:val="526A6404"/>
    <w:rsid w:val="52A52712"/>
    <w:rsid w:val="52F361D0"/>
    <w:rsid w:val="52F65EE9"/>
    <w:rsid w:val="52F91536"/>
    <w:rsid w:val="53605111"/>
    <w:rsid w:val="53863019"/>
    <w:rsid w:val="53BF0089"/>
    <w:rsid w:val="53D277C0"/>
    <w:rsid w:val="53D57427"/>
    <w:rsid w:val="541F7E14"/>
    <w:rsid w:val="54667655"/>
    <w:rsid w:val="547E031E"/>
    <w:rsid w:val="549F323C"/>
    <w:rsid w:val="54A628CB"/>
    <w:rsid w:val="54AA6F8B"/>
    <w:rsid w:val="54AB2D04"/>
    <w:rsid w:val="54DF6509"/>
    <w:rsid w:val="55065E9B"/>
    <w:rsid w:val="550D6140"/>
    <w:rsid w:val="551E1754"/>
    <w:rsid w:val="552A709E"/>
    <w:rsid w:val="55647DBD"/>
    <w:rsid w:val="55CE2806"/>
    <w:rsid w:val="55E24503"/>
    <w:rsid w:val="569161E7"/>
    <w:rsid w:val="56A46172"/>
    <w:rsid w:val="57851A73"/>
    <w:rsid w:val="57B61418"/>
    <w:rsid w:val="57CE136B"/>
    <w:rsid w:val="58207565"/>
    <w:rsid w:val="58435A13"/>
    <w:rsid w:val="58444A9E"/>
    <w:rsid w:val="58855938"/>
    <w:rsid w:val="589874E2"/>
    <w:rsid w:val="58A40196"/>
    <w:rsid w:val="58B81917"/>
    <w:rsid w:val="58D95E36"/>
    <w:rsid w:val="58E45847"/>
    <w:rsid w:val="59362CCA"/>
    <w:rsid w:val="59435A1B"/>
    <w:rsid w:val="597A7929"/>
    <w:rsid w:val="599F1E4E"/>
    <w:rsid w:val="59EA118C"/>
    <w:rsid w:val="5A463472"/>
    <w:rsid w:val="5AD85ED5"/>
    <w:rsid w:val="5B0D4C71"/>
    <w:rsid w:val="5B4F6845"/>
    <w:rsid w:val="5B753431"/>
    <w:rsid w:val="5BB701E0"/>
    <w:rsid w:val="5C215DC8"/>
    <w:rsid w:val="5CFA0384"/>
    <w:rsid w:val="5D046E06"/>
    <w:rsid w:val="5DA5144D"/>
    <w:rsid w:val="5DBB44E1"/>
    <w:rsid w:val="5DD76917"/>
    <w:rsid w:val="5E233FB7"/>
    <w:rsid w:val="5E364A4E"/>
    <w:rsid w:val="5E490D06"/>
    <w:rsid w:val="5E8D1F0C"/>
    <w:rsid w:val="5EAE6ED1"/>
    <w:rsid w:val="5EB04625"/>
    <w:rsid w:val="5EBE7E0C"/>
    <w:rsid w:val="5F053FD1"/>
    <w:rsid w:val="5F2A267B"/>
    <w:rsid w:val="5F337B7D"/>
    <w:rsid w:val="5F95179B"/>
    <w:rsid w:val="5FA1224C"/>
    <w:rsid w:val="602816AC"/>
    <w:rsid w:val="6037544B"/>
    <w:rsid w:val="60911000"/>
    <w:rsid w:val="60B74C37"/>
    <w:rsid w:val="6109503A"/>
    <w:rsid w:val="61282692"/>
    <w:rsid w:val="619E1C26"/>
    <w:rsid w:val="61EF7CBE"/>
    <w:rsid w:val="62233ED9"/>
    <w:rsid w:val="624F53C7"/>
    <w:rsid w:val="62593D9F"/>
    <w:rsid w:val="625E13D3"/>
    <w:rsid w:val="626D1BCA"/>
    <w:rsid w:val="62946B85"/>
    <w:rsid w:val="62C64177"/>
    <w:rsid w:val="62CF4061"/>
    <w:rsid w:val="6319336A"/>
    <w:rsid w:val="63D66BDD"/>
    <w:rsid w:val="63DD0C16"/>
    <w:rsid w:val="63FB6033"/>
    <w:rsid w:val="640B2E77"/>
    <w:rsid w:val="64676364"/>
    <w:rsid w:val="6489785C"/>
    <w:rsid w:val="64994927"/>
    <w:rsid w:val="64C51278"/>
    <w:rsid w:val="64CA0F84"/>
    <w:rsid w:val="651064BC"/>
    <w:rsid w:val="652E1513"/>
    <w:rsid w:val="65717652"/>
    <w:rsid w:val="659C46CE"/>
    <w:rsid w:val="65B9177C"/>
    <w:rsid w:val="667473F9"/>
    <w:rsid w:val="669B120A"/>
    <w:rsid w:val="66A7157D"/>
    <w:rsid w:val="66AC6D22"/>
    <w:rsid w:val="66D87988"/>
    <w:rsid w:val="66EC2F44"/>
    <w:rsid w:val="670F05EC"/>
    <w:rsid w:val="67AA665E"/>
    <w:rsid w:val="67C972D1"/>
    <w:rsid w:val="68047260"/>
    <w:rsid w:val="682330CD"/>
    <w:rsid w:val="686314D3"/>
    <w:rsid w:val="688F0957"/>
    <w:rsid w:val="68BD367A"/>
    <w:rsid w:val="68C263BA"/>
    <w:rsid w:val="68ED17D0"/>
    <w:rsid w:val="690818ED"/>
    <w:rsid w:val="692A1FF1"/>
    <w:rsid w:val="69434E61"/>
    <w:rsid w:val="698971FF"/>
    <w:rsid w:val="6A9D777E"/>
    <w:rsid w:val="6AAD0186"/>
    <w:rsid w:val="6AD06BC8"/>
    <w:rsid w:val="6B153307"/>
    <w:rsid w:val="6B3A7A5D"/>
    <w:rsid w:val="6B3B04E6"/>
    <w:rsid w:val="6B4D303F"/>
    <w:rsid w:val="6B634A05"/>
    <w:rsid w:val="6B637A3C"/>
    <w:rsid w:val="6C0920D8"/>
    <w:rsid w:val="6C2947E2"/>
    <w:rsid w:val="6C2D3A57"/>
    <w:rsid w:val="6C445178"/>
    <w:rsid w:val="6C5C7D67"/>
    <w:rsid w:val="6C646EE0"/>
    <w:rsid w:val="6D3E5A07"/>
    <w:rsid w:val="6DDF4286"/>
    <w:rsid w:val="6DFB21AE"/>
    <w:rsid w:val="6E152CDB"/>
    <w:rsid w:val="6E5F2B7C"/>
    <w:rsid w:val="6E6C0AC8"/>
    <w:rsid w:val="6E7F4B8D"/>
    <w:rsid w:val="6EB72579"/>
    <w:rsid w:val="6EEF3DD6"/>
    <w:rsid w:val="6F221D59"/>
    <w:rsid w:val="6F481423"/>
    <w:rsid w:val="6F4B746B"/>
    <w:rsid w:val="6F653D83"/>
    <w:rsid w:val="6F6A0FB1"/>
    <w:rsid w:val="6FCA1E38"/>
    <w:rsid w:val="704D257C"/>
    <w:rsid w:val="71175198"/>
    <w:rsid w:val="7179195E"/>
    <w:rsid w:val="71AA0790"/>
    <w:rsid w:val="71AB18BE"/>
    <w:rsid w:val="71AF7537"/>
    <w:rsid w:val="71DD5DB6"/>
    <w:rsid w:val="72874010"/>
    <w:rsid w:val="72907369"/>
    <w:rsid w:val="72BF19FC"/>
    <w:rsid w:val="72FA6ED8"/>
    <w:rsid w:val="734C0DB6"/>
    <w:rsid w:val="736D2FDC"/>
    <w:rsid w:val="74324450"/>
    <w:rsid w:val="74A8517C"/>
    <w:rsid w:val="74C23919"/>
    <w:rsid w:val="74EB77C4"/>
    <w:rsid w:val="75260D1D"/>
    <w:rsid w:val="75A35605"/>
    <w:rsid w:val="75C8797B"/>
    <w:rsid w:val="75E17EDC"/>
    <w:rsid w:val="75F06371"/>
    <w:rsid w:val="762B0886"/>
    <w:rsid w:val="763D3B4D"/>
    <w:rsid w:val="766703E1"/>
    <w:rsid w:val="76B86E8E"/>
    <w:rsid w:val="76B96561"/>
    <w:rsid w:val="76DE4712"/>
    <w:rsid w:val="77642B72"/>
    <w:rsid w:val="778D031B"/>
    <w:rsid w:val="77CE623E"/>
    <w:rsid w:val="77F4117B"/>
    <w:rsid w:val="784309DA"/>
    <w:rsid w:val="7892370F"/>
    <w:rsid w:val="790A1A19"/>
    <w:rsid w:val="791505C8"/>
    <w:rsid w:val="794E5888"/>
    <w:rsid w:val="795151D0"/>
    <w:rsid w:val="79541F00"/>
    <w:rsid w:val="79C04088"/>
    <w:rsid w:val="79C7027F"/>
    <w:rsid w:val="7A4A24F3"/>
    <w:rsid w:val="7AB160CE"/>
    <w:rsid w:val="7AF1471D"/>
    <w:rsid w:val="7B963BCA"/>
    <w:rsid w:val="7BCD777C"/>
    <w:rsid w:val="7BD858DD"/>
    <w:rsid w:val="7BE97AEA"/>
    <w:rsid w:val="7BF546E1"/>
    <w:rsid w:val="7C10780F"/>
    <w:rsid w:val="7CB400F8"/>
    <w:rsid w:val="7CBF3B2D"/>
    <w:rsid w:val="7CE56503"/>
    <w:rsid w:val="7D2A2168"/>
    <w:rsid w:val="7D407BDD"/>
    <w:rsid w:val="7D6E02A7"/>
    <w:rsid w:val="7D7E4262"/>
    <w:rsid w:val="7D7F24B4"/>
    <w:rsid w:val="7DDD542C"/>
    <w:rsid w:val="7DF84014"/>
    <w:rsid w:val="7E327526"/>
    <w:rsid w:val="7E413C0D"/>
    <w:rsid w:val="7E467EAD"/>
    <w:rsid w:val="7EC559F0"/>
    <w:rsid w:val="7EC860DC"/>
    <w:rsid w:val="7F111831"/>
    <w:rsid w:val="7F1B445E"/>
    <w:rsid w:val="7F4A6959"/>
    <w:rsid w:val="7F713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after="120" w:line="240" w:lineRule="auto"/>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7"/>
    <w:qFormat/>
    <w:uiPriority w:val="0"/>
    <w:pPr>
      <w:outlineLvl w:val="0"/>
    </w:pPr>
    <w:rPr>
      <w:rFonts w:eastAsia="Times New Roman"/>
      <w:b/>
      <w:bCs/>
      <w:sz w:val="28"/>
      <w:szCs w:val="28"/>
    </w:rPr>
  </w:style>
  <w:style w:type="paragraph" w:styleId="3">
    <w:name w:val="heading 2"/>
    <w:basedOn w:val="1"/>
    <w:next w:val="1"/>
    <w:link w:val="28"/>
    <w:unhideWhenUsed/>
    <w:qFormat/>
    <w:uiPriority w:val="0"/>
    <w:pPr>
      <w:outlineLvl w:val="1"/>
    </w:pPr>
    <w:rPr>
      <w:rFonts w:eastAsia="Times New Roman"/>
      <w:b/>
      <w:bCs/>
      <w:sz w:val="24"/>
    </w:rPr>
  </w:style>
  <w:style w:type="paragraph" w:styleId="4">
    <w:name w:val="heading 3"/>
    <w:basedOn w:val="1"/>
    <w:next w:val="1"/>
    <w:link w:val="29"/>
    <w:unhideWhenUsed/>
    <w:qFormat/>
    <w:uiPriority w:val="0"/>
    <w:pPr>
      <w:jc w:val="left"/>
      <w:outlineLvl w:val="2"/>
    </w:pPr>
    <w:rPr>
      <w:rFonts w:eastAsia="Times New Roman"/>
      <w:u w:val="single"/>
    </w:rPr>
  </w:style>
  <w:style w:type="paragraph" w:styleId="5">
    <w:name w:val="heading 4"/>
    <w:basedOn w:val="1"/>
    <w:next w:val="1"/>
    <w:link w:val="30"/>
    <w:unhideWhenUsed/>
    <w:qFormat/>
    <w:uiPriority w:val="0"/>
    <w:pPr>
      <w:keepNext/>
      <w:spacing w:before="240" w:after="60"/>
      <w:outlineLvl w:val="3"/>
    </w:pPr>
    <w:rPr>
      <w:rFonts w:eastAsia="Times New Roman"/>
      <w:b/>
      <w:bCs/>
      <w:szCs w:val="28"/>
    </w:rPr>
  </w:style>
  <w:style w:type="paragraph" w:styleId="6">
    <w:name w:val="heading 5"/>
    <w:basedOn w:val="1"/>
    <w:next w:val="1"/>
    <w:link w:val="31"/>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unhideWhenUsed/>
    <w:qFormat/>
    <w:uiPriority w:val="0"/>
    <w:pPr>
      <w:spacing w:before="240" w:after="60"/>
      <w:outlineLvl w:val="5"/>
    </w:pPr>
    <w:rPr>
      <w:rFonts w:eastAsia="Times New Roman"/>
      <w:b/>
      <w:bCs/>
    </w:rPr>
  </w:style>
  <w:style w:type="paragraph" w:styleId="8">
    <w:name w:val="heading 7"/>
    <w:basedOn w:val="1"/>
    <w:next w:val="1"/>
    <w:link w:val="33"/>
    <w:unhideWhenUsed/>
    <w:qFormat/>
    <w:uiPriority w:val="0"/>
    <w:pPr>
      <w:spacing w:before="240" w:after="60"/>
      <w:outlineLvl w:val="6"/>
    </w:pPr>
    <w:rPr>
      <w:rFonts w:cs="宋体"/>
      <w:sz w:val="24"/>
      <w:szCs w:val="24"/>
    </w:rPr>
  </w:style>
  <w:style w:type="paragraph" w:styleId="9">
    <w:name w:val="heading 8"/>
    <w:basedOn w:val="1"/>
    <w:next w:val="1"/>
    <w:link w:val="34"/>
    <w:unhideWhenUsed/>
    <w:qFormat/>
    <w:uiPriority w:val="0"/>
    <w:pPr>
      <w:spacing w:before="240" w:after="60"/>
      <w:outlineLvl w:val="7"/>
    </w:pPr>
    <w:rPr>
      <w:rFonts w:cs="宋体"/>
      <w:i/>
      <w:iCs/>
      <w:sz w:val="24"/>
      <w:szCs w:val="24"/>
    </w:rPr>
  </w:style>
  <w:style w:type="paragraph" w:styleId="10">
    <w:name w:val="heading 9"/>
    <w:basedOn w:val="1"/>
    <w:next w:val="1"/>
    <w:link w:val="35"/>
    <w:unhideWhenUsed/>
    <w:qFormat/>
    <w:uiPriority w:val="0"/>
    <w:pPr>
      <w:spacing w:before="240" w:after="60"/>
      <w:outlineLvl w:val="8"/>
    </w:pPr>
    <w:rPr>
      <w:rFonts w:ascii="Arial" w:hAnsi="Arial" w:cs="Aria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9"/>
    <w:qFormat/>
    <w:uiPriority w:val="0"/>
    <w:pPr>
      <w:widowControl/>
      <w:snapToGrid w:val="0"/>
      <w:jc w:val="center"/>
    </w:pPr>
    <w:rPr>
      <w:rFonts w:eastAsia="宋体"/>
      <w:b/>
      <w:bCs/>
      <w:kern w:val="2"/>
      <w:sz w:val="20"/>
      <w:szCs w:val="20"/>
      <w:lang w:eastAsia="zh-CN"/>
    </w:rPr>
  </w:style>
  <w:style w:type="paragraph" w:styleId="12">
    <w:name w:val="annotation text"/>
    <w:basedOn w:val="1"/>
    <w:link w:val="44"/>
    <w:semiHidden/>
    <w:unhideWhenUsed/>
    <w:qFormat/>
    <w:uiPriority w:val="99"/>
    <w:pPr>
      <w:jc w:val="left"/>
    </w:pPr>
  </w:style>
  <w:style w:type="paragraph" w:styleId="13">
    <w:name w:val="Body Text"/>
    <w:basedOn w:val="1"/>
    <w:link w:val="36"/>
    <w:semiHidden/>
    <w:unhideWhenUsed/>
    <w:qFormat/>
    <w:uiPriority w:val="99"/>
    <w:rPr>
      <w:sz w:val="20"/>
      <w:szCs w:val="20"/>
    </w:rPr>
  </w:style>
  <w:style w:type="paragraph" w:styleId="14">
    <w:name w:val="List 2"/>
    <w:basedOn w:val="1"/>
    <w:semiHidden/>
    <w:unhideWhenUsed/>
    <w:qFormat/>
    <w:uiPriority w:val="99"/>
    <w:pPr>
      <w:ind w:left="100" w:leftChars="200" w:hanging="200" w:hangingChars="200"/>
      <w:contextualSpacing/>
    </w:pPr>
  </w:style>
  <w:style w:type="paragraph" w:styleId="15">
    <w:name w:val="Balloon Text"/>
    <w:basedOn w:val="1"/>
    <w:link w:val="41"/>
    <w:semiHidden/>
    <w:unhideWhenUsed/>
    <w:qFormat/>
    <w:uiPriority w:val="99"/>
    <w:pPr>
      <w:spacing w:after="0"/>
    </w:pPr>
    <w:rPr>
      <w:rFonts w:ascii="Microsoft YaHei UI" w:eastAsia="Microsoft YaHei UI"/>
      <w:sz w:val="18"/>
      <w:szCs w:val="18"/>
    </w:rPr>
  </w:style>
  <w:style w:type="paragraph" w:styleId="16">
    <w:name w:val="footer"/>
    <w:basedOn w:val="1"/>
    <w:link w:val="43"/>
    <w:unhideWhenUsed/>
    <w:qFormat/>
    <w:uiPriority w:val="99"/>
    <w:pPr>
      <w:tabs>
        <w:tab w:val="center" w:pos="4320"/>
        <w:tab w:val="right" w:pos="8640"/>
      </w:tabs>
      <w:spacing w:after="0"/>
    </w:pPr>
  </w:style>
  <w:style w:type="paragraph" w:styleId="17">
    <w:name w:val="header"/>
    <w:basedOn w:val="1"/>
    <w:link w:val="42"/>
    <w:unhideWhenUsed/>
    <w:qFormat/>
    <w:uiPriority w:val="99"/>
    <w:pPr>
      <w:tabs>
        <w:tab w:val="center" w:pos="4320"/>
        <w:tab w:val="right" w:pos="8640"/>
      </w:tabs>
      <w:spacing w:after="0"/>
    </w:pPr>
  </w:style>
  <w:style w:type="paragraph" w:styleId="18">
    <w:name w:val="List"/>
    <w:basedOn w:val="1"/>
    <w:semiHidden/>
    <w:unhideWhenUsed/>
    <w:qFormat/>
    <w:uiPriority w:val="99"/>
    <w:pPr>
      <w:ind w:left="200" w:hanging="200" w:hangingChars="200"/>
      <w:contextualSpacing/>
    </w:pPr>
  </w:style>
  <w:style w:type="paragraph" w:styleId="19">
    <w:name w:val="Normal (Web)"/>
    <w:basedOn w:val="1"/>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semiHidden/>
    <w:unhideWhenUsed/>
    <w:qFormat/>
    <w:uiPriority w:val="99"/>
    <w:rPr>
      <w:b/>
      <w:bCs/>
    </w:rPr>
  </w:style>
  <w:style w:type="table" w:styleId="22">
    <w:name w:val="Table Grid"/>
    <w:basedOn w:val="21"/>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Emphasis"/>
    <w:basedOn w:val="23"/>
    <w:qFormat/>
    <w:uiPriority w:val="20"/>
    <w:rPr>
      <w:i/>
      <w:iCs/>
    </w:rPr>
  </w:style>
  <w:style w:type="character" w:styleId="26">
    <w:name w:val="annotation reference"/>
    <w:basedOn w:val="23"/>
    <w:semiHidden/>
    <w:unhideWhenUsed/>
    <w:qFormat/>
    <w:uiPriority w:val="99"/>
    <w:rPr>
      <w:sz w:val="21"/>
      <w:szCs w:val="21"/>
    </w:rPr>
  </w:style>
  <w:style w:type="character" w:customStyle="1" w:styleId="27">
    <w:name w:val="标题 1 Char"/>
    <w:basedOn w:val="23"/>
    <w:link w:val="2"/>
    <w:qFormat/>
    <w:uiPriority w:val="0"/>
    <w:rPr>
      <w:rFonts w:ascii="Times New Roman" w:hAnsi="Times New Roman" w:eastAsia="Times New Roman" w:cs="Times New Roman"/>
      <w:b/>
      <w:bCs/>
      <w:sz w:val="28"/>
      <w:szCs w:val="28"/>
      <w:lang w:val="en-GB" w:eastAsia="en-US"/>
    </w:rPr>
  </w:style>
  <w:style w:type="character" w:customStyle="1" w:styleId="28">
    <w:name w:val="标题 2 Char"/>
    <w:basedOn w:val="23"/>
    <w:link w:val="3"/>
    <w:qFormat/>
    <w:uiPriority w:val="0"/>
    <w:rPr>
      <w:rFonts w:ascii="Times New Roman" w:hAnsi="Times New Roman" w:eastAsia="Times New Roman" w:cs="Times New Roman"/>
      <w:b/>
      <w:bCs/>
      <w:sz w:val="24"/>
      <w:lang w:val="en-GB" w:eastAsia="en-US"/>
    </w:rPr>
  </w:style>
  <w:style w:type="character" w:customStyle="1" w:styleId="29">
    <w:name w:val="标题 3 Char"/>
    <w:basedOn w:val="23"/>
    <w:link w:val="4"/>
    <w:qFormat/>
    <w:uiPriority w:val="0"/>
    <w:rPr>
      <w:rFonts w:ascii="Times New Roman" w:hAnsi="Times New Roman" w:eastAsia="Times New Roman" w:cs="Times New Roman"/>
      <w:u w:val="single"/>
      <w:lang w:val="en-GB" w:eastAsia="en-US"/>
    </w:rPr>
  </w:style>
  <w:style w:type="character" w:customStyle="1" w:styleId="30">
    <w:name w:val="标题 4 Char"/>
    <w:basedOn w:val="23"/>
    <w:link w:val="5"/>
    <w:semiHidden/>
    <w:qFormat/>
    <w:uiPriority w:val="0"/>
    <w:rPr>
      <w:rFonts w:ascii="Times New Roman" w:hAnsi="Times New Roman" w:eastAsia="Times New Roman" w:cs="Times New Roman"/>
      <w:b/>
      <w:bCs/>
      <w:szCs w:val="28"/>
      <w:lang w:val="en-GB" w:eastAsia="en-US"/>
    </w:rPr>
  </w:style>
  <w:style w:type="character" w:customStyle="1" w:styleId="31">
    <w:name w:val="标题 5 Char"/>
    <w:basedOn w:val="23"/>
    <w:link w:val="6"/>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Char"/>
    <w:basedOn w:val="23"/>
    <w:link w:val="7"/>
    <w:semiHidden/>
    <w:qFormat/>
    <w:uiPriority w:val="0"/>
    <w:rPr>
      <w:rFonts w:ascii="Times New Roman" w:hAnsi="Times New Roman" w:eastAsia="Times New Roman" w:cs="Times New Roman"/>
      <w:b/>
      <w:bCs/>
      <w:lang w:val="en-GB" w:eastAsia="en-US"/>
    </w:rPr>
  </w:style>
  <w:style w:type="character" w:customStyle="1" w:styleId="33">
    <w:name w:val="标题 7 Char"/>
    <w:basedOn w:val="23"/>
    <w:link w:val="8"/>
    <w:semiHidden/>
    <w:qFormat/>
    <w:uiPriority w:val="99"/>
    <w:rPr>
      <w:rFonts w:ascii="Times New Roman" w:hAnsi="Times New Roman" w:cs="宋体"/>
      <w:sz w:val="24"/>
      <w:szCs w:val="24"/>
      <w:lang w:val="en-GB" w:eastAsia="en-US"/>
    </w:rPr>
  </w:style>
  <w:style w:type="character" w:customStyle="1" w:styleId="34">
    <w:name w:val="标题 8 Char"/>
    <w:basedOn w:val="23"/>
    <w:link w:val="9"/>
    <w:semiHidden/>
    <w:qFormat/>
    <w:uiPriority w:val="99"/>
    <w:rPr>
      <w:rFonts w:ascii="Times New Roman" w:hAnsi="Times New Roman" w:cs="宋体"/>
      <w:i/>
      <w:iCs/>
      <w:sz w:val="24"/>
      <w:szCs w:val="24"/>
      <w:lang w:val="en-GB" w:eastAsia="en-US"/>
    </w:rPr>
  </w:style>
  <w:style w:type="character" w:customStyle="1" w:styleId="35">
    <w:name w:val="标题 9 Char"/>
    <w:basedOn w:val="23"/>
    <w:link w:val="10"/>
    <w:semiHidden/>
    <w:qFormat/>
    <w:uiPriority w:val="99"/>
    <w:rPr>
      <w:rFonts w:ascii="Arial" w:hAnsi="Arial" w:cs="Arial"/>
      <w:lang w:val="en-GB" w:eastAsia="en-US"/>
    </w:rPr>
  </w:style>
  <w:style w:type="character" w:customStyle="1" w:styleId="36">
    <w:name w:val="正文文本 Char"/>
    <w:basedOn w:val="23"/>
    <w:link w:val="13"/>
    <w:semiHidden/>
    <w:qFormat/>
    <w:uiPriority w:val="99"/>
    <w:rPr>
      <w:rFonts w:ascii="Times New Roman" w:hAnsi="Times New Roman" w:cs="Times New Roman"/>
      <w:sz w:val="20"/>
      <w:szCs w:val="20"/>
      <w:lang w:val="en-GB" w:eastAsia="en-US"/>
    </w:rPr>
  </w:style>
  <w:style w:type="paragraph" w:styleId="37">
    <w:name w:val="List Paragraph"/>
    <w:basedOn w:val="1"/>
    <w:link w:val="47"/>
    <w:qFormat/>
    <w:uiPriority w:val="34"/>
    <w:pPr>
      <w:ind w:left="720"/>
      <w:contextualSpacing/>
    </w:pPr>
  </w:style>
  <w:style w:type="paragraph" w:customStyle="1" w:styleId="38">
    <w:name w:val="References"/>
    <w:basedOn w:val="1"/>
    <w:qFormat/>
    <w:uiPriority w:val="0"/>
    <w:pPr>
      <w:widowControl/>
      <w:numPr>
        <w:ilvl w:val="0"/>
        <w:numId w:val="1"/>
      </w:numPr>
      <w:adjustRightInd/>
      <w:spacing w:after="0"/>
    </w:pPr>
    <w:rPr>
      <w:sz w:val="16"/>
      <w:szCs w:val="16"/>
    </w:rPr>
  </w:style>
  <w:style w:type="character" w:customStyle="1" w:styleId="39">
    <w:name w:val="main text Char"/>
    <w:basedOn w:val="23"/>
    <w:link w:val="40"/>
    <w:qFormat/>
    <w:locked/>
    <w:uiPriority w:val="0"/>
    <w:rPr>
      <w:rFonts w:ascii="Malgun Gothic" w:hAnsi="Malgun Gothic" w:eastAsia="Malgun Gothic" w:cs="Batang"/>
      <w:lang w:val="en-GB" w:eastAsia="ko-KR"/>
    </w:rPr>
  </w:style>
  <w:style w:type="paragraph" w:customStyle="1" w:styleId="40">
    <w:name w:val="main text"/>
    <w:basedOn w:val="1"/>
    <w:link w:val="39"/>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Char"/>
    <w:basedOn w:val="23"/>
    <w:link w:val="15"/>
    <w:semiHidden/>
    <w:qFormat/>
    <w:uiPriority w:val="99"/>
    <w:rPr>
      <w:rFonts w:ascii="Microsoft YaHei UI" w:hAnsi="Times New Roman" w:eastAsia="Microsoft YaHei UI" w:cs="Times New Roman"/>
      <w:sz w:val="18"/>
      <w:szCs w:val="18"/>
      <w:lang w:val="en-GB" w:eastAsia="en-US"/>
    </w:rPr>
  </w:style>
  <w:style w:type="character" w:customStyle="1" w:styleId="42">
    <w:name w:val="页眉 Char"/>
    <w:basedOn w:val="23"/>
    <w:link w:val="17"/>
    <w:qFormat/>
    <w:uiPriority w:val="99"/>
    <w:rPr>
      <w:rFonts w:ascii="Times New Roman" w:hAnsi="Times New Roman" w:cs="Times New Roman"/>
      <w:lang w:val="en-GB" w:eastAsia="en-US"/>
    </w:rPr>
  </w:style>
  <w:style w:type="character" w:customStyle="1" w:styleId="43">
    <w:name w:val="页脚 Char"/>
    <w:basedOn w:val="23"/>
    <w:link w:val="16"/>
    <w:qFormat/>
    <w:uiPriority w:val="99"/>
    <w:rPr>
      <w:rFonts w:ascii="Times New Roman" w:hAnsi="Times New Roman" w:cs="Times New Roman"/>
      <w:lang w:val="en-GB" w:eastAsia="en-US"/>
    </w:rPr>
  </w:style>
  <w:style w:type="character" w:customStyle="1" w:styleId="44">
    <w:name w:val="批注文字 Char"/>
    <w:basedOn w:val="23"/>
    <w:link w:val="12"/>
    <w:semiHidden/>
    <w:qFormat/>
    <w:uiPriority w:val="99"/>
    <w:rPr>
      <w:rFonts w:ascii="Times New Roman" w:hAnsi="Times New Roman" w:cs="Times New Roman"/>
      <w:lang w:val="en-GB" w:eastAsia="en-US"/>
    </w:rPr>
  </w:style>
  <w:style w:type="character" w:customStyle="1" w:styleId="45">
    <w:name w:val="批注主题 Char"/>
    <w:basedOn w:val="44"/>
    <w:link w:val="20"/>
    <w:semiHidden/>
    <w:qFormat/>
    <w:uiPriority w:val="99"/>
    <w:rPr>
      <w:rFonts w:ascii="Times New Roman" w:hAnsi="Times New Roman" w:cs="Times New Roman"/>
      <w:b/>
      <w:bCs/>
      <w:lang w:val="en-GB" w:eastAsia="en-US"/>
    </w:rPr>
  </w:style>
  <w:style w:type="paragraph" w:customStyle="1" w:styleId="46">
    <w:name w:val="Revision"/>
    <w:hidden/>
    <w:semiHidden/>
    <w:qFormat/>
    <w:uiPriority w:val="99"/>
    <w:pPr>
      <w:spacing w:after="0" w:line="240" w:lineRule="auto"/>
    </w:pPr>
    <w:rPr>
      <w:rFonts w:ascii="Times New Roman" w:hAnsi="Times New Roman" w:cs="Times New Roman" w:eastAsiaTheme="minorEastAsia"/>
      <w:sz w:val="22"/>
      <w:szCs w:val="22"/>
      <w:lang w:val="en-GB" w:eastAsia="en-US" w:bidi="ar-SA"/>
    </w:rPr>
  </w:style>
  <w:style w:type="character" w:customStyle="1" w:styleId="47">
    <w:name w:val="列出段落 Char"/>
    <w:link w:val="37"/>
    <w:qFormat/>
    <w:uiPriority w:val="34"/>
    <w:rPr>
      <w:rFonts w:ascii="Times New Roman" w:hAnsi="Times New Roman" w:cs="Times New Roman"/>
      <w:lang w:val="en-GB" w:eastAsia="en-US"/>
    </w:rPr>
  </w:style>
  <w:style w:type="character" w:customStyle="1" w:styleId="48">
    <w:name w:val="normaltextrun1"/>
    <w:basedOn w:val="23"/>
    <w:qFormat/>
    <w:uiPriority w:val="0"/>
  </w:style>
  <w:style w:type="character" w:customStyle="1" w:styleId="49">
    <w:name w:val="题注 Char"/>
    <w:link w:val="11"/>
    <w:qFormat/>
    <w:uiPriority w:val="0"/>
    <w:rPr>
      <w:rFonts w:ascii="Times New Roman" w:hAnsi="Times New Roman" w:eastAsia="宋体" w:cs="Times New Roman"/>
      <w:b/>
      <w:bCs/>
      <w:kern w:val="2"/>
      <w:sz w:val="20"/>
      <w:szCs w:val="20"/>
      <w:lang w:val="en-GB"/>
    </w:rPr>
  </w:style>
  <w:style w:type="character" w:customStyle="1" w:styleId="50">
    <w:name w:val="resultitem"/>
    <w:basedOn w:val="23"/>
    <w:qFormat/>
    <w:uiPriority w:val="0"/>
  </w:style>
  <w:style w:type="paragraph" w:customStyle="1" w:styleId="51">
    <w:name w:val="TH"/>
    <w:basedOn w:val="1"/>
    <w:link w:val="54"/>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sz w:val="16"/>
      <w:szCs w:val="20"/>
      <w:lang w:val="en-GB" w:eastAsia="sv-SE" w:bidi="ar-SA"/>
    </w:rPr>
  </w:style>
  <w:style w:type="character" w:customStyle="1" w:styleId="53">
    <w:name w:val="PL Char"/>
    <w:link w:val="52"/>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qFormat/>
    <w:uiPriority w:val="0"/>
    <w:rPr>
      <w:rFonts w:ascii="Arial" w:hAnsi="Arial" w:eastAsia="MS Mincho" w:cs="Times New Roman"/>
      <w:b/>
      <w:sz w:val="20"/>
      <w:szCs w:val="20"/>
      <w:lang w:val="en-GB" w:eastAsia="en-US"/>
    </w:rPr>
  </w:style>
  <w:style w:type="paragraph" w:customStyle="1" w:styleId="55">
    <w:name w:val="TAC"/>
    <w:basedOn w:val="1"/>
    <w:link w:val="57"/>
    <w:qFormat/>
    <w:uiPriority w:val="0"/>
    <w:pPr>
      <w:keepNext/>
      <w:keepLines/>
      <w:widowControl/>
      <w:autoSpaceDE/>
      <w:autoSpaceDN/>
      <w:adjustRightInd/>
      <w:spacing w:after="0"/>
      <w:jc w:val="center"/>
    </w:pPr>
    <w:rPr>
      <w:rFonts w:ascii="Arial" w:hAnsi="Arial"/>
      <w:sz w:val="18"/>
      <w:szCs w:val="20"/>
    </w:rPr>
  </w:style>
  <w:style w:type="paragraph" w:customStyle="1" w:styleId="56">
    <w:name w:val="TAN"/>
    <w:basedOn w:val="1"/>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7">
    <w:name w:val="TAC Char"/>
    <w:link w:val="55"/>
    <w:qFormat/>
    <w:locked/>
    <w:uiPriority w:val="0"/>
    <w:rPr>
      <w:rFonts w:ascii="Arial" w:hAnsi="Arial" w:cs="Times New Roman"/>
      <w:sz w:val="18"/>
      <w:szCs w:val="20"/>
      <w:lang w:val="en-GB" w:eastAsia="en-US"/>
    </w:rPr>
  </w:style>
  <w:style w:type="paragraph" w:customStyle="1" w:styleId="58">
    <w:name w:val="TAH"/>
    <w:basedOn w:val="55"/>
    <w:link w:val="59"/>
    <w:qFormat/>
    <w:uiPriority w:val="0"/>
    <w:pPr>
      <w:overflowPunct w:val="0"/>
      <w:autoSpaceDE w:val="0"/>
      <w:autoSpaceDN w:val="0"/>
      <w:adjustRightInd w:val="0"/>
      <w:textAlignment w:val="baseline"/>
    </w:pPr>
    <w:rPr>
      <w:rFonts w:eastAsia="宋体"/>
      <w:b/>
    </w:rPr>
  </w:style>
  <w:style w:type="character" w:customStyle="1" w:styleId="59">
    <w:name w:val="TAH Car"/>
    <w:link w:val="58"/>
    <w:qFormat/>
    <w:locked/>
    <w:uiPriority w:val="0"/>
    <w:rPr>
      <w:rFonts w:ascii="Arial" w:hAnsi="Arial" w:eastAsia="宋体" w:cs="Times New Roman"/>
      <w:b/>
      <w:sz w:val="18"/>
      <w:szCs w:val="20"/>
      <w:lang w:val="en-GB" w:eastAsia="en-US"/>
    </w:rPr>
  </w:style>
  <w:style w:type="paragraph" w:customStyle="1" w:styleId="60">
    <w:name w:val="TF"/>
    <w:basedOn w:val="51"/>
    <w:link w:val="61"/>
    <w:qFormat/>
    <w:uiPriority w:val="0"/>
    <w:pPr>
      <w:keepNext w:val="0"/>
      <w:spacing w:before="0" w:after="240"/>
    </w:pPr>
    <w:rPr>
      <w:rFonts w:eastAsiaTheme="minorEastAsia"/>
    </w:rPr>
  </w:style>
  <w:style w:type="character" w:customStyle="1" w:styleId="61">
    <w:name w:val="TF Char"/>
    <w:link w:val="60"/>
    <w:qFormat/>
    <w:uiPriority w:val="0"/>
    <w:rPr>
      <w:rFonts w:ascii="Arial" w:hAnsi="Arial" w:cs="Times New Roman"/>
      <w:b/>
      <w:sz w:val="20"/>
      <w:szCs w:val="20"/>
      <w:lang w:val="en-GB" w:eastAsia="en-US"/>
    </w:rPr>
  </w:style>
  <w:style w:type="paragraph" w:customStyle="1" w:styleId="62">
    <w:name w:val="B1"/>
    <w:basedOn w:val="18"/>
    <w:link w:val="63"/>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3">
    <w:name w:val="B1 Char"/>
    <w:link w:val="62"/>
    <w:qFormat/>
    <w:locked/>
    <w:uiPriority w:val="0"/>
    <w:rPr>
      <w:rFonts w:ascii="Times New Roman" w:hAnsi="Times New Roman" w:cs="Times New Roman"/>
      <w:sz w:val="20"/>
      <w:szCs w:val="20"/>
      <w:lang w:val="en-GB" w:eastAsia="en-US"/>
    </w:rPr>
  </w:style>
  <w:style w:type="paragraph" w:customStyle="1" w:styleId="64">
    <w:name w:val="B2"/>
    <w:basedOn w:val="14"/>
    <w:link w:val="65"/>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5">
    <w:name w:val="B2 Char"/>
    <w:link w:val="64"/>
    <w:qFormat/>
    <w:uiPriority w:val="0"/>
    <w:rPr>
      <w:rFonts w:ascii="Times New Roman" w:hAnsi="Times New Roman" w:cs="Times New Roman"/>
      <w:sz w:val="20"/>
      <w:szCs w:val="20"/>
      <w:lang w:val="en-GB" w:eastAsia="en-US"/>
    </w:rPr>
  </w:style>
  <w:style w:type="table" w:customStyle="1" w:styleId="66">
    <w:name w:val="表 (格子)31"/>
    <w:basedOn w:val="21"/>
    <w:qFormat/>
    <w:uiPriority w:val="39"/>
    <w:pPr>
      <w:overflowPunct w:val="0"/>
      <w:autoSpaceDE w:val="0"/>
      <w:autoSpaceDN w:val="0"/>
      <w:adjustRightInd w:val="0"/>
      <w:spacing w:after="180"/>
      <w:textAlignment w:val="baseline"/>
    </w:pPr>
    <w:rPr>
      <w:rFonts w:ascii="Times New Roman" w:hAnsi="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
    <w:name w:val="font31"/>
    <w:basedOn w:val="23"/>
    <w:qFormat/>
    <w:uiPriority w:val="0"/>
    <w:rPr>
      <w:rFonts w:hint="default" w:ascii="Times New Roman" w:hAnsi="Times New Roman" w:cs="Times New Roman"/>
      <w:color w:val="000000"/>
      <w:sz w:val="20"/>
      <w:szCs w:val="20"/>
      <w:u w:val="none"/>
    </w:rPr>
  </w:style>
  <w:style w:type="character" w:customStyle="1" w:styleId="68">
    <w:name w:val="font01"/>
    <w:basedOn w:val="23"/>
    <w:qFormat/>
    <w:uiPriority w:val="0"/>
    <w:rPr>
      <w:rFonts w:hint="eastAsia" w:ascii="宋体" w:hAnsi="宋体" w:eastAsia="宋体" w:cs="宋体"/>
      <w:color w:val="000000"/>
      <w:sz w:val="20"/>
      <w:szCs w:val="20"/>
      <w:u w:val="none"/>
    </w:rPr>
  </w:style>
  <w:style w:type="character" w:customStyle="1" w:styleId="69">
    <w:name w:val="font11"/>
    <w:basedOn w:val="23"/>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2608D-85BB-4F81-B467-DB62B1597B71}">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12</Pages>
  <Words>2447</Words>
  <Characters>12075</Characters>
  <Lines>524</Lines>
  <Paragraphs>245</Paragraphs>
  <TotalTime>2</TotalTime>
  <ScaleCrop>false</ScaleCrop>
  <LinksUpToDate>false</LinksUpToDate>
  <CharactersWithSpaces>14078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2022-04-29T10:01:00Z</dcterms:created>
  <dc:creator>Zhouyue (Sol)</dc:creator>
  <cp:lastModifiedBy>Admin</cp:lastModifiedBy>
  <dcterms:modified xsi:type="dcterms:W3CDTF">2022-08-12T15:59:11Z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2052-11.1.0.12302</vt:lpwstr>
  </property>
  <property fmtid="{D5CDD505-2E9C-101B-9397-08002B2CF9AE}" pid="10" name="ICV">
    <vt:lpwstr>5FB31FB26C0448B39F38642770167862</vt:lpwstr>
  </property>
</Properties>
</file>